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0492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2D60B2" w:rsidRDefault="003A3463" w:rsidP="00662667">
          <w:pPr>
            <w:pStyle w:val="NoSpacing"/>
            <w:ind w:left="-9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 wp14:anchorId="53A1D59E" wp14:editId="53A1D59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6415" cy="599440"/>
                    <wp:effectExtent l="0" t="0" r="11430" b="11430"/>
                    <wp:wrapNone/>
                    <wp:docPr id="4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641.45pt;height:47.2pt;z-index:251680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" o:allowincell="f" fillcolor="#a5a5a5 [2092]" strokecolor="gray [1629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53A1D5A0" wp14:editId="53A1D5A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3" name="Rectangl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0" o:spid="_x0000_s1026" style="position:absolute;margin-left:0;margin-top:0;width:7.15pt;height:830.45pt;z-index:251683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0" allowOverlap="1" wp14:anchorId="53A1D5A2" wp14:editId="53A1D5A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2" name="Rectangle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9" o:spid="_x0000_s1026" style="position:absolute;margin-left:0;margin-top:0;width:7.15pt;height:830.45pt;z-index:251682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0" allowOverlap="1" wp14:anchorId="53A1D5A4" wp14:editId="53A1D5A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6415" cy="599440"/>
                    <wp:effectExtent l="0" t="0" r="11430" b="11430"/>
                    <wp:wrapNone/>
                    <wp:docPr id="1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8" o:spid="_x0000_s1026" style="position:absolute;margin-left:0;margin-top:0;width:641.45pt;height:47.2pt;z-index:251681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" o:allowincell="f" fillcolor="#7f7f7f [1612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b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D60B2" w:rsidRPr="000D621B" w:rsidRDefault="001720EE" w:rsidP="00662667">
              <w:pPr>
                <w:pStyle w:val="NoSpacing"/>
                <w:ind w:left="-90"/>
                <w:rPr>
                  <w:rFonts w:eastAsiaTheme="majorEastAsia" w:cstheme="majorBidi"/>
                  <w:sz w:val="72"/>
                  <w:szCs w:val="72"/>
                </w:rPr>
              </w:pPr>
              <w:r>
                <w:rPr>
                  <w:rFonts w:eastAsiaTheme="majorEastAsia" w:cstheme="majorBidi"/>
                  <w:b/>
                  <w:sz w:val="72"/>
                  <w:szCs w:val="72"/>
                </w:rPr>
                <w:t>Functional Specification</w:t>
              </w:r>
            </w:p>
          </w:sdtContent>
        </w:sdt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72"/>
              <w:szCs w:val="72"/>
            </w:rPr>
          </w:pPr>
        </w:p>
        <w:p w:rsidR="002D60B2" w:rsidRPr="000D621B" w:rsidRDefault="000D621B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  <w:r w:rsidRPr="000D621B">
            <w:rPr>
              <w:noProof/>
              <w:lang w:eastAsia="en-US"/>
            </w:rPr>
            <w:drawing>
              <wp:inline distT="0" distB="0" distL="0" distR="0" wp14:anchorId="53A1D5A6" wp14:editId="53A1D5A7">
                <wp:extent cx="1914525" cy="948260"/>
                <wp:effectExtent l="19050" t="0" r="9525" b="0"/>
                <wp:docPr id="7" name="Picture 1" descr="C:\Users\Harminder Singh\Desktop\BMS - NEC\imagesCAY7D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minder Singh\Desktop\BMS - NEC\imagesCAY7D1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4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:rsidR="0031704B" w:rsidRDefault="0031704B" w:rsidP="00662667">
          <w:pPr>
            <w:spacing w:after="200"/>
            <w:ind w:left="-90"/>
          </w:pPr>
        </w:p>
        <w:p w:rsidR="0031704B" w:rsidRDefault="0031704B" w:rsidP="00662667">
          <w:pPr>
            <w:spacing w:after="200"/>
            <w:ind w:left="-90"/>
          </w:pPr>
        </w:p>
        <w:p w:rsidR="00E63F72" w:rsidRDefault="00E63F72" w:rsidP="00662667">
          <w:pPr>
            <w:spacing w:after="200"/>
            <w:ind w:left="-90"/>
          </w:pPr>
        </w:p>
        <w:p w:rsidR="00E63F72" w:rsidRDefault="00E63F72" w:rsidP="00662667">
          <w:pPr>
            <w:spacing w:after="200"/>
            <w:ind w:left="-90"/>
          </w:pPr>
        </w:p>
        <w:p w:rsidR="00E63F72" w:rsidRDefault="00E63F72" w:rsidP="00662667">
          <w:pPr>
            <w:spacing w:after="200"/>
            <w:ind w:left="-90"/>
          </w:pPr>
        </w:p>
        <w:p w:rsidR="00E63F72" w:rsidRDefault="00E63F72" w:rsidP="00662667">
          <w:pPr>
            <w:spacing w:after="200"/>
            <w:ind w:left="-90"/>
          </w:pPr>
        </w:p>
        <w:p w:rsidR="00E63F72" w:rsidRDefault="00E63F72" w:rsidP="00662667">
          <w:pPr>
            <w:spacing w:after="200"/>
            <w:ind w:left="-90"/>
          </w:pPr>
        </w:p>
        <w:p w:rsidR="002D60B2" w:rsidRDefault="007A1543" w:rsidP="00662667">
          <w:pPr>
            <w:spacing w:after="200"/>
            <w:ind w:left="-90"/>
          </w:pPr>
        </w:p>
      </w:sdtContent>
    </w:sdt>
    <w:tbl>
      <w:tblPr>
        <w:tblStyle w:val="TableGrid"/>
        <w:tblW w:w="955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00"/>
      </w:tblGrid>
      <w:tr w:rsidR="007F68FF" w:rsidTr="00662667">
        <w:tc>
          <w:tcPr>
            <w:tcW w:w="2358" w:type="dxa"/>
          </w:tcPr>
          <w:p w:rsidR="007F68FF" w:rsidRDefault="007F68FF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Object Name</w:t>
            </w:r>
          </w:p>
        </w:tc>
        <w:tc>
          <w:tcPr>
            <w:tcW w:w="7200" w:type="dxa"/>
          </w:tcPr>
          <w:p w:rsidR="007F68FF" w:rsidRDefault="007F68FF" w:rsidP="00CF1B1F">
            <w:pPr>
              <w:ind w:left="-90"/>
            </w:pPr>
            <w:r>
              <w:t xml:space="preserve">: </w:t>
            </w:r>
            <w:r w:rsidR="00CF1B1F">
              <w:t>FI112</w:t>
            </w:r>
          </w:p>
        </w:tc>
      </w:tr>
      <w:tr w:rsidR="00634BA7" w:rsidTr="00662667">
        <w:tc>
          <w:tcPr>
            <w:tcW w:w="2358" w:type="dxa"/>
          </w:tcPr>
          <w:p w:rsidR="00634BA7" w:rsidRDefault="00634BA7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ReCAP Number</w:t>
            </w:r>
          </w:p>
        </w:tc>
        <w:tc>
          <w:tcPr>
            <w:tcW w:w="7200" w:type="dxa"/>
          </w:tcPr>
          <w:p w:rsidR="00634BA7" w:rsidRDefault="00634BA7" w:rsidP="00CF1B1F">
            <w:pPr>
              <w:ind w:left="-90"/>
            </w:pPr>
            <w:r>
              <w:t xml:space="preserve">: </w:t>
            </w:r>
            <w:r w:rsidR="00CF1B1F">
              <w:t>7195</w:t>
            </w:r>
          </w:p>
        </w:tc>
      </w:tr>
      <w:tr w:rsidR="000D621B" w:rsidTr="00662667">
        <w:tc>
          <w:tcPr>
            <w:tcW w:w="2358" w:type="dxa"/>
          </w:tcPr>
          <w:p w:rsidR="000D621B" w:rsidRPr="002D60B2" w:rsidRDefault="0041053D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Functionality</w:t>
            </w:r>
          </w:p>
        </w:tc>
        <w:tc>
          <w:tcPr>
            <w:tcW w:w="7200" w:type="dxa"/>
          </w:tcPr>
          <w:p w:rsidR="000D621B" w:rsidRDefault="000D621B" w:rsidP="00CF1B1F">
            <w:pPr>
              <w:ind w:left="-90"/>
            </w:pPr>
            <w:r>
              <w:t xml:space="preserve">: </w:t>
            </w:r>
            <w:r w:rsidR="00CF1B1F">
              <w:t>Income Statement with Last Year Budget by Region</w:t>
            </w:r>
          </w:p>
        </w:tc>
      </w:tr>
      <w:tr w:rsidR="00623177" w:rsidTr="00662667">
        <w:tc>
          <w:tcPr>
            <w:tcW w:w="2358" w:type="dxa"/>
          </w:tcPr>
          <w:p w:rsidR="00623177" w:rsidRPr="002D60B2" w:rsidRDefault="0041053D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Functional Area</w:t>
            </w:r>
          </w:p>
        </w:tc>
        <w:tc>
          <w:tcPr>
            <w:tcW w:w="7200" w:type="dxa"/>
          </w:tcPr>
          <w:p w:rsidR="00634BA7" w:rsidRDefault="0041053D" w:rsidP="00CF1B1F">
            <w:pPr>
              <w:ind w:left="-90"/>
            </w:pPr>
            <w:r>
              <w:t xml:space="preserve">: </w:t>
            </w:r>
            <w:r w:rsidR="00CF1B1F">
              <w:t>Finance</w:t>
            </w:r>
          </w:p>
        </w:tc>
      </w:tr>
      <w:tr w:rsidR="00E63F72" w:rsidTr="00662667">
        <w:tc>
          <w:tcPr>
            <w:tcW w:w="2358" w:type="dxa"/>
          </w:tcPr>
          <w:p w:rsidR="00E63F72" w:rsidRPr="002D60B2" w:rsidRDefault="00E63F72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By</w:t>
            </w:r>
          </w:p>
        </w:tc>
        <w:tc>
          <w:tcPr>
            <w:tcW w:w="7200" w:type="dxa"/>
          </w:tcPr>
          <w:p w:rsidR="00E63F72" w:rsidRDefault="00E63F72" w:rsidP="008E0817">
            <w:pPr>
              <w:ind w:left="-90"/>
            </w:pPr>
            <w:r>
              <w:t xml:space="preserve">: </w:t>
            </w:r>
            <w:r w:rsidR="00CF1B1F">
              <w:t xml:space="preserve"> Joan Profetta and Jingsha </w:t>
            </w:r>
            <w:r w:rsidR="008E0817">
              <w:t>Brennan</w:t>
            </w:r>
          </w:p>
        </w:tc>
      </w:tr>
      <w:tr w:rsidR="00E63F72" w:rsidTr="00662667">
        <w:tc>
          <w:tcPr>
            <w:tcW w:w="2358" w:type="dxa"/>
          </w:tcPr>
          <w:p w:rsidR="00E63F72" w:rsidRPr="002D60B2" w:rsidRDefault="00E63F72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Date</w:t>
            </w:r>
          </w:p>
        </w:tc>
        <w:tc>
          <w:tcPr>
            <w:tcW w:w="7200" w:type="dxa"/>
          </w:tcPr>
          <w:p w:rsidR="00E63F72" w:rsidRDefault="00E63F72" w:rsidP="00CF1B1F">
            <w:pPr>
              <w:ind w:left="-90"/>
            </w:pPr>
            <w:r>
              <w:t xml:space="preserve">: </w:t>
            </w:r>
            <w:sdt>
              <w:sdtPr>
                <w:id w:val="1137831921"/>
                <w:date w:fullDate="2013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3935">
                  <w:t>5/20/2013</w:t>
                </w:r>
              </w:sdtContent>
            </w:sdt>
          </w:p>
        </w:tc>
      </w:tr>
    </w:tbl>
    <w:p w:rsidR="006A4A56" w:rsidRDefault="006A4A56" w:rsidP="00662667">
      <w:pPr>
        <w:ind w:left="-90"/>
        <w:rPr>
          <w:b/>
          <w:sz w:val="36"/>
        </w:rPr>
      </w:pPr>
    </w:p>
    <w:p w:rsidR="006A4A56" w:rsidRDefault="006A4A56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:rsidR="00D44E49" w:rsidRPr="002D60B2" w:rsidRDefault="00D44E49" w:rsidP="00662667">
      <w:pPr>
        <w:ind w:left="-90"/>
        <w:rPr>
          <w:b/>
          <w:sz w:val="36"/>
        </w:rPr>
      </w:pPr>
      <w:r w:rsidRPr="002D60B2">
        <w:rPr>
          <w:b/>
          <w:sz w:val="36"/>
        </w:rPr>
        <w:lastRenderedPageBreak/>
        <w:t>Revision History</w:t>
      </w:r>
      <w:r w:rsidR="00EF2112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728"/>
        <w:gridCol w:w="1260"/>
        <w:gridCol w:w="6570"/>
      </w:tblGrid>
      <w:tr w:rsidR="00D44E49" w:rsidRPr="00D44E49" w:rsidTr="00496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  <w:r w:rsidRPr="00D44E49">
              <w:t>Revision Number</w:t>
            </w:r>
          </w:p>
        </w:tc>
        <w:tc>
          <w:tcPr>
            <w:tcW w:w="126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657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Summary of Change</w:t>
            </w:r>
          </w:p>
        </w:tc>
      </w:tr>
      <w:tr w:rsidR="00D44E49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9F507B" w:rsidRDefault="00127FE8" w:rsidP="00662667">
            <w:pPr>
              <w:ind w:left="-90"/>
              <w:rPr>
                <w:b w:val="0"/>
              </w:rPr>
            </w:pPr>
            <w:r>
              <w:rPr>
                <w:b w:val="0"/>
              </w:rPr>
              <w:t>1.0</w:t>
            </w:r>
          </w:p>
        </w:tc>
        <w:tc>
          <w:tcPr>
            <w:tcW w:w="126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CF1B1F" w:rsidP="00DF3F1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20, 2013</w:t>
            </w:r>
          </w:p>
        </w:tc>
        <w:tc>
          <w:tcPr>
            <w:tcW w:w="657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127FE8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Revision</w:t>
            </w:r>
          </w:p>
        </w:tc>
      </w:tr>
      <w:tr w:rsidR="00D44E49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EA6E87" w:rsidP="00662667">
            <w:pPr>
              <w:ind w:left="-90"/>
            </w:pPr>
            <w:r>
              <w:t>1.1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EA6E87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23, 2013</w:t>
            </w: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EA6E87" w:rsidP="00DF3F1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1.1</w:t>
            </w:r>
          </w:p>
        </w:tc>
      </w:tr>
      <w:tr w:rsidR="00D44E49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C5A2A" w:rsidP="00662667">
            <w:pPr>
              <w:ind w:left="-90"/>
            </w:pPr>
            <w:r>
              <w:t>1.2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C5A2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29, 2013</w:t>
            </w: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C5A2A" w:rsidP="00DC5A2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 1.2 GL Hierachy added</w:t>
            </w:r>
          </w:p>
        </w:tc>
      </w:tr>
      <w:tr w:rsidR="00D44E49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315CA" w:rsidRDefault="003315CA" w:rsidP="00662667">
      <w:pPr>
        <w:ind w:left="-90"/>
        <w:rPr>
          <w:b/>
          <w:sz w:val="36"/>
        </w:rPr>
      </w:pPr>
    </w:p>
    <w:p w:rsidR="003315CA" w:rsidRPr="002D60B2" w:rsidRDefault="00102ACF" w:rsidP="00662667">
      <w:pPr>
        <w:ind w:left="-90"/>
        <w:rPr>
          <w:b/>
          <w:sz w:val="36"/>
        </w:rPr>
      </w:pPr>
      <w:r>
        <w:rPr>
          <w:b/>
          <w:sz w:val="36"/>
        </w:rPr>
        <w:t xml:space="preserve">Related </w:t>
      </w:r>
      <w:r w:rsidR="00F16561">
        <w:rPr>
          <w:b/>
          <w:sz w:val="36"/>
        </w:rPr>
        <w:t>Documents</w:t>
      </w:r>
      <w:r w:rsidR="005F15AB">
        <w:rPr>
          <w:b/>
          <w:sz w:val="36"/>
        </w:rPr>
        <w:t xml:space="preserve"> (Document, URL,</w:t>
      </w:r>
      <w:r w:rsidR="00A9268F">
        <w:rPr>
          <w:b/>
          <w:sz w:val="36"/>
        </w:rPr>
        <w:t xml:space="preserve"> Email</w:t>
      </w:r>
      <w:r w:rsidR="005F15AB">
        <w:rPr>
          <w:b/>
          <w:sz w:val="36"/>
        </w:rPr>
        <w:t>,</w:t>
      </w:r>
      <w:r w:rsidR="009D7CAC">
        <w:rPr>
          <w:b/>
          <w:sz w:val="36"/>
        </w:rPr>
        <w:t xml:space="preserve"> </w:t>
      </w:r>
      <w:r w:rsidR="0036138D">
        <w:rPr>
          <w:b/>
          <w:sz w:val="36"/>
        </w:rPr>
        <w:t>etc.</w:t>
      </w:r>
      <w:r w:rsidR="009D7CAC">
        <w:rPr>
          <w:b/>
          <w:sz w:val="36"/>
        </w:rPr>
        <w:t>)</w:t>
      </w:r>
      <w:r w:rsidR="003315CA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701"/>
        <w:gridCol w:w="1287"/>
        <w:gridCol w:w="1440"/>
        <w:gridCol w:w="5148"/>
      </w:tblGrid>
      <w:tr w:rsidR="00496F3C" w:rsidRPr="00D44E49" w:rsidTr="00496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0000" w:themeColor="text1"/>
            </w:tcBorders>
          </w:tcPr>
          <w:p w:rsidR="00496F3C" w:rsidRPr="00D44E49" w:rsidRDefault="00496F3C" w:rsidP="00F16561">
            <w:pPr>
              <w:ind w:left="-90"/>
            </w:pPr>
            <w:r>
              <w:t>Document Name</w:t>
            </w:r>
          </w:p>
        </w:tc>
        <w:tc>
          <w:tcPr>
            <w:tcW w:w="1287" w:type="dxa"/>
            <w:tcBorders>
              <w:bottom w:val="single" w:sz="8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:rsidR="00496F3C" w:rsidRDefault="00496F3C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5148" w:type="dxa"/>
            <w:tcBorders>
              <w:bottom w:val="single" w:sz="8" w:space="0" w:color="000000" w:themeColor="text1"/>
            </w:tcBorders>
          </w:tcPr>
          <w:p w:rsidR="00496F3C" w:rsidRDefault="00496F3C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496F3C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9F507B" w:rsidRDefault="00496F3C" w:rsidP="00662667">
            <w:pPr>
              <w:ind w:left="-90"/>
              <w:rPr>
                <w:b w:val="0"/>
              </w:rPr>
            </w:pPr>
          </w:p>
        </w:tc>
        <w:tc>
          <w:tcPr>
            <w:tcW w:w="128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F3C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F3C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F3C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F3C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F3C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F3C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F3C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F3C" w:rsidRPr="00D44E49" w:rsidTr="0049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F3C" w:rsidRPr="00D44E49" w:rsidTr="0049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</w:pPr>
          </w:p>
        </w:tc>
        <w:tc>
          <w:tcPr>
            <w:tcW w:w="12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F3C" w:rsidRPr="00D44E49" w:rsidRDefault="00496F3C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5338D" w:rsidRDefault="0035338D">
      <w:pPr>
        <w:spacing w:after="20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br w:type="page"/>
      </w:r>
    </w:p>
    <w:p w:rsidR="0031704B" w:rsidRPr="002543DA" w:rsidRDefault="0031704B" w:rsidP="0031704B">
      <w:pPr>
        <w:tabs>
          <w:tab w:val="left" w:pos="-90"/>
        </w:tabs>
        <w:ind w:left="-90"/>
        <w:rPr>
          <w:b/>
          <w:sz w:val="36"/>
        </w:rPr>
      </w:pPr>
      <w:r>
        <w:rPr>
          <w:b/>
          <w:color w:val="808080" w:themeColor="background1" w:themeShade="80"/>
          <w:sz w:val="36"/>
        </w:rPr>
        <w:lastRenderedPageBreak/>
        <w:t>Business Requirement:</w:t>
      </w:r>
    </w:p>
    <w:p w:rsidR="00075587" w:rsidRPr="00E314E3" w:rsidRDefault="008E0817" w:rsidP="008B4644">
      <w:r>
        <w:t xml:space="preserve">FI 112 is an existing BI report that shows </w:t>
      </w:r>
      <w:r w:rsidR="003A678B">
        <w:t xml:space="preserve">the </w:t>
      </w:r>
      <w:r>
        <w:t xml:space="preserve">Income Statement by Region and consists </w:t>
      </w:r>
      <w:r w:rsidR="003A678B">
        <w:t xml:space="preserve">of the </w:t>
      </w:r>
      <w:r w:rsidR="008C0301">
        <w:t>comparison</w:t>
      </w:r>
      <w:r>
        <w:t xml:space="preserve"> of This Year Actual vs. Budge and This Year Actual vs. Last Year Actual. The current process of generating FI112 involves steps that utilize a screen scrap</w:t>
      </w:r>
      <w:r w:rsidR="003A678B">
        <w:t>e</w:t>
      </w:r>
      <w:r>
        <w:t xml:space="preserve"> tool </w:t>
      </w:r>
      <w:r w:rsidR="003A678B">
        <w:t xml:space="preserve">called </w:t>
      </w:r>
      <w:r>
        <w:t>Monarch. The objective of this functional specification is to</w:t>
      </w:r>
      <w:r w:rsidR="003A678B">
        <w:t xml:space="preserve"> not use Monarch and to</w:t>
      </w:r>
      <w:r>
        <w:t xml:space="preserve"> streamline the creation </w:t>
      </w:r>
      <w:r w:rsidR="003A678B">
        <w:t xml:space="preserve">of the </w:t>
      </w:r>
      <w:r>
        <w:t xml:space="preserve"> FI112 </w:t>
      </w:r>
      <w:r w:rsidR="008C0301">
        <w:t>report.</w:t>
      </w:r>
    </w:p>
    <w:p w:rsidR="006F1DF4" w:rsidRPr="000D621B" w:rsidRDefault="006F1DF4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 xml:space="preserve">Functional </w:t>
      </w:r>
      <w:r w:rsidR="007A6214">
        <w:rPr>
          <w:b/>
          <w:color w:val="808080" w:themeColor="background1" w:themeShade="80"/>
          <w:sz w:val="36"/>
        </w:rPr>
        <w:t>Specification</w:t>
      </w:r>
      <w:r w:rsidRPr="000D621B">
        <w:rPr>
          <w:b/>
          <w:color w:val="808080" w:themeColor="background1" w:themeShade="80"/>
          <w:sz w:val="36"/>
        </w:rPr>
        <w:t>:</w:t>
      </w:r>
    </w:p>
    <w:p w:rsidR="00F87962" w:rsidRPr="00F87962" w:rsidRDefault="006D3B3E" w:rsidP="00CF1B1F">
      <w:pPr>
        <w:rPr>
          <w:b/>
        </w:rPr>
      </w:pPr>
      <w:r w:rsidRPr="00F87962">
        <w:rPr>
          <w:b/>
        </w:rPr>
        <w:t xml:space="preserve">Overview: </w:t>
      </w:r>
    </w:p>
    <w:p w:rsidR="00870824" w:rsidRDefault="00C86D2B" w:rsidP="00CF1B1F">
      <w:r>
        <w:t>FI112 is an Income Statement Report grouped by Region and</w:t>
      </w:r>
      <w:r w:rsidR="00EA6E87">
        <w:t xml:space="preserve"> </w:t>
      </w:r>
      <w:r w:rsidR="00870824">
        <w:t>include</w:t>
      </w:r>
      <w:r w:rsidR="003A678B">
        <w:t>s</w:t>
      </w:r>
      <w:r w:rsidR="00870824">
        <w:t xml:space="preserve"> two portions. The top half of the report should show Income Statement with </w:t>
      </w:r>
      <w:r w:rsidR="008C0301">
        <w:t>comparison</w:t>
      </w:r>
      <w:r w:rsidR="00870824">
        <w:t xml:space="preserve"> of This Year Actual vs. Budget. The bottom half of the report should show the Income Statement with </w:t>
      </w:r>
      <w:r w:rsidR="008C0301">
        <w:t>comparison</w:t>
      </w:r>
      <w:r w:rsidR="00870824">
        <w:t xml:space="preserve"> of This Year Actual vs. Last Year Actual.  </w:t>
      </w:r>
      <w:r w:rsidR="003A678B">
        <w:t>All currency is in USD.</w:t>
      </w:r>
    </w:p>
    <w:p w:rsidR="00870824" w:rsidRDefault="00870824" w:rsidP="00870824">
      <w:pPr>
        <w:rPr>
          <w:b/>
        </w:rPr>
      </w:pPr>
    </w:p>
    <w:p w:rsidR="00870824" w:rsidRPr="00870824" w:rsidRDefault="00870824" w:rsidP="00CF1B1F">
      <w:pPr>
        <w:rPr>
          <w:b/>
        </w:rPr>
      </w:pPr>
      <w:r>
        <w:rPr>
          <w:b/>
        </w:rPr>
        <w:t>Source</w:t>
      </w:r>
      <w:r w:rsidRPr="00F87962">
        <w:rPr>
          <w:b/>
        </w:rPr>
        <w:t xml:space="preserve">: </w:t>
      </w:r>
    </w:p>
    <w:p w:rsidR="00CF1B1F" w:rsidRPr="004A24D7" w:rsidRDefault="006D3B3E" w:rsidP="00CF1B1F">
      <w:r>
        <w:t xml:space="preserve">FI112 should be sourced from </w:t>
      </w:r>
      <w:r w:rsidR="008C0301">
        <w:t>BW;</w:t>
      </w:r>
      <w:r>
        <w:t xml:space="preserve"> this </w:t>
      </w:r>
      <w:r w:rsidR="008C0301">
        <w:t>includes the</w:t>
      </w:r>
      <w:r>
        <w:t xml:space="preserve"> Company code, GL account, GL description, GL account hierarchy and amount. </w:t>
      </w:r>
      <w:r w:rsidR="00F87962">
        <w:t xml:space="preserve"> </w:t>
      </w:r>
      <w:r w:rsidR="00F87962" w:rsidRPr="004A24D7">
        <w:t>The only manipulation within Crystal should be for Positive/Negative sign</w:t>
      </w:r>
      <w:r w:rsidR="003A678B">
        <w:t>s</w:t>
      </w:r>
      <w:r w:rsidR="00F87962" w:rsidRPr="004A24D7">
        <w:t>, some calculated fields, and the grouping by region.</w:t>
      </w:r>
      <w:r w:rsidR="003A678B">
        <w:t xml:space="preserve"> </w:t>
      </w:r>
      <w:r w:rsidR="00C86D2B" w:rsidRPr="004A24D7">
        <w:t xml:space="preserve">Please refer </w:t>
      </w:r>
      <w:r w:rsidR="003A678B">
        <w:t xml:space="preserve">to </w:t>
      </w:r>
      <w:r w:rsidR="00C86D2B" w:rsidRPr="004A24D7">
        <w:t xml:space="preserve">the current FI112 report for formatting. </w:t>
      </w:r>
    </w:p>
    <w:p w:rsidR="0099563B" w:rsidRDefault="003A678B" w:rsidP="0035338D">
      <w:r>
        <w:rPr>
          <w:noProof/>
        </w:rPr>
        <w:drawing>
          <wp:inline distT="0" distB="0" distL="0" distR="0" wp14:anchorId="77F302DF" wp14:editId="74B2AE5C">
            <wp:extent cx="5943600" cy="3394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8B" w:rsidRDefault="003A678B" w:rsidP="0035338D">
      <w:r>
        <w:rPr>
          <w:noProof/>
        </w:rPr>
        <w:drawing>
          <wp:inline distT="0" distB="0" distL="0" distR="0" wp14:anchorId="74813374" wp14:editId="50EB59B5">
            <wp:extent cx="5943600" cy="2813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3B" w:rsidRDefault="0099563B" w:rsidP="0035338D"/>
    <w:p w:rsidR="00F87962" w:rsidRDefault="00F87962" w:rsidP="0035338D"/>
    <w:p w:rsidR="00870824" w:rsidRPr="00870824" w:rsidRDefault="00870824" w:rsidP="0035338D">
      <w:pPr>
        <w:rPr>
          <w:b/>
        </w:rPr>
      </w:pPr>
      <w:r w:rsidRPr="00870824">
        <w:rPr>
          <w:b/>
        </w:rPr>
        <w:lastRenderedPageBreak/>
        <w:t>Grouping of company codes</w:t>
      </w:r>
      <w:r w:rsidR="004A24D7">
        <w:rPr>
          <w:b/>
        </w:rPr>
        <w:t xml:space="preserve"> into Regions</w:t>
      </w:r>
      <w:r w:rsidRPr="00870824">
        <w:rPr>
          <w:b/>
        </w:rPr>
        <w:t>:</w:t>
      </w:r>
    </w:p>
    <w:p w:rsidR="004A24D7" w:rsidRDefault="004A24D7" w:rsidP="004A24D7">
      <w:r>
        <w:t>Company codes '0010','0011','0014','0020','0021','0100','0074' falls under ‘North America’.</w:t>
      </w:r>
    </w:p>
    <w:p w:rsidR="004A24D7" w:rsidRDefault="004A24D7" w:rsidP="004A24D7">
      <w:r>
        <w:t xml:space="preserve">Company </w:t>
      </w:r>
      <w:r w:rsidR="008C0301">
        <w:t>codes ‘0030’</w:t>
      </w:r>
      <w:r>
        <w:t>,'0040','0042' fall under ‘EMEA’.</w:t>
      </w:r>
    </w:p>
    <w:p w:rsidR="004A24D7" w:rsidRDefault="004A24D7" w:rsidP="004A24D7">
      <w:r>
        <w:t xml:space="preserve">Company </w:t>
      </w:r>
      <w:r w:rsidR="008C0301">
        <w:t>code ‘0060’</w:t>
      </w:r>
      <w:r>
        <w:t xml:space="preserve"> is ‘Japan’.</w:t>
      </w:r>
    </w:p>
    <w:p w:rsidR="004A24D7" w:rsidRDefault="004A24D7" w:rsidP="004A24D7">
      <w:r>
        <w:t>Company codes '0026','0028','0050','0055','0058' fall under ‘Emerging’.</w:t>
      </w:r>
    </w:p>
    <w:p w:rsidR="004A24D7" w:rsidRDefault="004A24D7" w:rsidP="004A24D7">
      <w:r>
        <w:t xml:space="preserve">All others fall </w:t>
      </w:r>
      <w:r w:rsidR="008C0301">
        <w:t>under ‘New</w:t>
      </w:r>
      <w:r>
        <w:t xml:space="preserve"> Era LLCs’</w:t>
      </w:r>
    </w:p>
    <w:p w:rsidR="004A24D7" w:rsidRDefault="004A24D7" w:rsidP="004A24D7"/>
    <w:p w:rsidR="004A24D7" w:rsidRDefault="004A24D7" w:rsidP="004A24D7">
      <w:pPr>
        <w:rPr>
          <w:b/>
        </w:rPr>
      </w:pPr>
      <w:r>
        <w:rPr>
          <w:b/>
        </w:rPr>
        <w:t>Parameters</w:t>
      </w:r>
      <w:r w:rsidRPr="00870824">
        <w:rPr>
          <w:b/>
        </w:rPr>
        <w:t>:</w:t>
      </w:r>
    </w:p>
    <w:p w:rsidR="004A24D7" w:rsidRPr="004A24D7" w:rsidRDefault="00375EE9" w:rsidP="004A24D7">
      <w:r>
        <w:t>Period Range (</w:t>
      </w:r>
      <w:r w:rsidR="008C0301">
        <w:t>starts</w:t>
      </w:r>
      <w:r>
        <w:t xml:space="preserve"> and end)</w:t>
      </w:r>
    </w:p>
    <w:p w:rsidR="004A24D7" w:rsidRPr="004A24D7" w:rsidRDefault="004A24D7" w:rsidP="004A24D7">
      <w:r w:rsidRPr="004A24D7">
        <w:t>Watermark (P</w:t>
      </w:r>
      <w:r>
        <w:t>re</w:t>
      </w:r>
      <w:r w:rsidRPr="004A24D7">
        <w:t>liminary Final)</w:t>
      </w:r>
    </w:p>
    <w:p w:rsidR="004A24D7" w:rsidRDefault="004A24D7" w:rsidP="004A24D7">
      <w:r w:rsidRPr="004A24D7">
        <w:t>Fiscal Year (ex. 2013)</w:t>
      </w:r>
    </w:p>
    <w:p w:rsidR="004A24D7" w:rsidRPr="004A24D7" w:rsidRDefault="004A24D7" w:rsidP="004A24D7">
      <w:r>
        <w:rPr>
          <w:noProof/>
        </w:rPr>
        <w:drawing>
          <wp:inline distT="0" distB="0" distL="0" distR="0" wp14:anchorId="7DACDE82" wp14:editId="3878975D">
            <wp:extent cx="5581650" cy="3000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D20FD5" w:rsidRDefault="00D20FD5" w:rsidP="0035338D">
      <w:pPr>
        <w:rPr>
          <w:b/>
        </w:rPr>
      </w:pPr>
    </w:p>
    <w:p w:rsidR="00870824" w:rsidRDefault="00D732DF" w:rsidP="0035338D">
      <w:pPr>
        <w:rPr>
          <w:b/>
        </w:rPr>
      </w:pPr>
      <w:r w:rsidRPr="00D732DF">
        <w:rPr>
          <w:b/>
        </w:rPr>
        <w:lastRenderedPageBreak/>
        <w:t>Drill Down:</w:t>
      </w:r>
    </w:p>
    <w:p w:rsidR="00D732DF" w:rsidRDefault="00D732DF" w:rsidP="0035338D">
      <w:pPr>
        <w:rPr>
          <w:b/>
        </w:rPr>
      </w:pPr>
      <w:r>
        <w:rPr>
          <w:b/>
        </w:rPr>
        <w:t>Fields on the left of the report can be drilled down to the company codes within the reports region.</w:t>
      </w:r>
    </w:p>
    <w:p w:rsidR="00D732DF" w:rsidRDefault="00D732DF" w:rsidP="0035338D">
      <w:pPr>
        <w:rPr>
          <w:noProof/>
        </w:rPr>
      </w:pPr>
      <w:r>
        <w:rPr>
          <w:noProof/>
        </w:rPr>
        <w:drawing>
          <wp:inline distT="0" distB="0" distL="0" distR="0" wp14:anchorId="2ED49605" wp14:editId="12975AAF">
            <wp:extent cx="5943600" cy="20440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2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847232" wp14:editId="45FCABD3">
            <wp:extent cx="5943600" cy="27349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D5" w:rsidRPr="00D732DF" w:rsidRDefault="00D20FD5" w:rsidP="0035338D">
      <w:pPr>
        <w:rPr>
          <w:b/>
        </w:rPr>
      </w:pPr>
    </w:p>
    <w:p w:rsidR="0099563B" w:rsidRPr="00F87962" w:rsidRDefault="00F87962" w:rsidP="0035338D">
      <w:pPr>
        <w:rPr>
          <w:b/>
        </w:rPr>
      </w:pPr>
      <w:r w:rsidRPr="00F87962">
        <w:rPr>
          <w:b/>
        </w:rPr>
        <w:t>Positive/Negative sign</w:t>
      </w:r>
      <w:r>
        <w:rPr>
          <w:b/>
        </w:rPr>
        <w:t>:</w:t>
      </w:r>
    </w:p>
    <w:p w:rsidR="006D3B3E" w:rsidRDefault="006D3B3E" w:rsidP="0035338D">
      <w:r>
        <w:t>Because SAP stores Credit balance</w:t>
      </w:r>
      <w:r w:rsidR="003A678B">
        <w:t>s</w:t>
      </w:r>
      <w:r>
        <w:t xml:space="preserve"> as </w:t>
      </w:r>
      <w:r w:rsidR="008C0301">
        <w:t>Negative</w:t>
      </w:r>
      <w:r>
        <w:t xml:space="preserve"> and Debit balance</w:t>
      </w:r>
      <w:r w:rsidR="003A678B">
        <w:t>s</w:t>
      </w:r>
      <w:r>
        <w:t xml:space="preserve"> as positive, for the purpose of reporting, formatting for each of the reports items need to be taken into consideration:</w:t>
      </w:r>
    </w:p>
    <w:p w:rsidR="006D3B3E" w:rsidRDefault="006D3B3E" w:rsidP="006D3B3E">
      <w:pPr>
        <w:pStyle w:val="ListParagraph"/>
        <w:numPr>
          <w:ilvl w:val="0"/>
          <w:numId w:val="13"/>
        </w:numPr>
      </w:pPr>
      <w:r>
        <w:t>Sales Net:</w:t>
      </w:r>
      <w:r w:rsidR="003A678B">
        <w:t xml:space="preserve"> </w:t>
      </w:r>
      <w:r>
        <w:t xml:space="preserve"> SAP credit balance should appear on the report as positive value, SAP debit amount should appear as negative value</w:t>
      </w:r>
    </w:p>
    <w:p w:rsidR="006D3B3E" w:rsidRDefault="006D3B3E" w:rsidP="006D3B3E">
      <w:pPr>
        <w:pStyle w:val="ListParagraph"/>
        <w:numPr>
          <w:ilvl w:val="0"/>
          <w:numId w:val="13"/>
        </w:numPr>
      </w:pPr>
      <w:r>
        <w:t>Cost of goods sold: SAP credit balance should appear on the report as negative value, SAP debit amount should appear as positive value</w:t>
      </w:r>
    </w:p>
    <w:p w:rsidR="006D3B3E" w:rsidRDefault="006D3B3E" w:rsidP="006D3B3E">
      <w:pPr>
        <w:pStyle w:val="ListParagraph"/>
        <w:numPr>
          <w:ilvl w:val="0"/>
          <w:numId w:val="13"/>
        </w:numPr>
      </w:pPr>
      <w:r>
        <w:t>Selling and Distribution expense: SAP credit balance should appear on the report as negative value, SAP debit amount should appear as positive value</w:t>
      </w:r>
    </w:p>
    <w:p w:rsidR="006D3B3E" w:rsidRDefault="006D3B3E" w:rsidP="006D3B3E">
      <w:pPr>
        <w:pStyle w:val="ListParagraph"/>
        <w:numPr>
          <w:ilvl w:val="0"/>
          <w:numId w:val="13"/>
        </w:numPr>
      </w:pPr>
      <w:r>
        <w:t>Other income(expense):  credit balance should appear on the report as positive value, SAP debit amount should appear as negative value</w:t>
      </w:r>
    </w:p>
    <w:p w:rsidR="00D20FD5" w:rsidRDefault="00D20FD5" w:rsidP="00D20FD5">
      <w:pPr>
        <w:pStyle w:val="ListParagraph"/>
      </w:pPr>
    </w:p>
    <w:p w:rsidR="006D3B3E" w:rsidRPr="003A678B" w:rsidRDefault="003A678B" w:rsidP="0035338D">
      <w:pPr>
        <w:rPr>
          <w:b/>
        </w:rPr>
      </w:pPr>
      <w:r w:rsidRPr="003A678B">
        <w:rPr>
          <w:b/>
        </w:rPr>
        <w:t>Top Portion of the Report:</w:t>
      </w:r>
    </w:p>
    <w:p w:rsidR="00F87962" w:rsidRDefault="00F87962" w:rsidP="00F87962">
      <w:pPr>
        <w:rPr>
          <w:b/>
        </w:rPr>
      </w:pPr>
      <w:r>
        <w:rPr>
          <w:b/>
        </w:rPr>
        <w:lastRenderedPageBreak/>
        <w:t>Calculated fields:</w:t>
      </w:r>
    </w:p>
    <w:p w:rsidR="00F87962" w:rsidRPr="00F87962" w:rsidRDefault="00F87962" w:rsidP="005C36A6">
      <w:pPr>
        <w:pStyle w:val="ListParagraph"/>
        <w:numPr>
          <w:ilvl w:val="0"/>
          <w:numId w:val="14"/>
        </w:numPr>
      </w:pPr>
      <w:r w:rsidRPr="00F87962">
        <w:t xml:space="preserve">Gross Profit </w:t>
      </w:r>
      <w:r w:rsidRPr="00F87962">
        <w:tab/>
      </w:r>
      <w:r w:rsidRPr="00F87962">
        <w:tab/>
      </w:r>
      <w:r w:rsidR="003A678B">
        <w:t xml:space="preserve">                             </w:t>
      </w:r>
      <w:r w:rsidRPr="00F87962">
        <w:t>= Sales Net – Cost of goods sold</w:t>
      </w:r>
    </w:p>
    <w:p w:rsidR="00F87962" w:rsidRPr="00F87962" w:rsidRDefault="00F87962" w:rsidP="005C36A6">
      <w:pPr>
        <w:pStyle w:val="ListParagraph"/>
        <w:numPr>
          <w:ilvl w:val="0"/>
          <w:numId w:val="14"/>
        </w:numPr>
      </w:pPr>
      <w:r w:rsidRPr="00F87962">
        <w:t>Operating Profit</w:t>
      </w:r>
      <w:r w:rsidRPr="00F87962">
        <w:tab/>
      </w:r>
      <w:r w:rsidR="003A678B">
        <w:t xml:space="preserve">                             </w:t>
      </w:r>
      <w:r w:rsidRPr="00F87962">
        <w:t>= Gross Profit – Selling and distribution expenses</w:t>
      </w:r>
    </w:p>
    <w:p w:rsidR="00F87962" w:rsidRDefault="00F87962" w:rsidP="005C36A6">
      <w:pPr>
        <w:pStyle w:val="ListParagraph"/>
        <w:numPr>
          <w:ilvl w:val="0"/>
          <w:numId w:val="14"/>
        </w:numPr>
      </w:pPr>
      <w:r w:rsidRPr="00F87962">
        <w:t>Income Before Provision for Taxes</w:t>
      </w:r>
      <w:r w:rsidRPr="00F87962">
        <w:tab/>
        <w:t>= Operating Profit + Other income (expense)</w:t>
      </w:r>
    </w:p>
    <w:p w:rsidR="008A17CC" w:rsidRDefault="008A17CC" w:rsidP="005C36A6">
      <w:pPr>
        <w:pStyle w:val="ListParagraph"/>
        <w:numPr>
          <w:ilvl w:val="0"/>
          <w:numId w:val="14"/>
        </w:numPr>
      </w:pPr>
      <w:r>
        <w:t xml:space="preserve">Variance (This year </w:t>
      </w:r>
      <w:r w:rsidR="008C0301">
        <w:t>vs.</w:t>
      </w:r>
      <w:r>
        <w:t xml:space="preserve"> Budget):</w:t>
      </w:r>
      <w:r>
        <w:tab/>
      </w:r>
      <w:r>
        <w:tab/>
        <w:t>= Actual – Budge</w:t>
      </w:r>
      <w:r w:rsidR="003A678B">
        <w:t>t</w:t>
      </w:r>
    </w:p>
    <w:p w:rsidR="003A678B" w:rsidRDefault="008A17CC" w:rsidP="003A678B">
      <w:pPr>
        <w:pStyle w:val="ListParagraph"/>
        <w:numPr>
          <w:ilvl w:val="0"/>
          <w:numId w:val="14"/>
        </w:numPr>
      </w:pPr>
      <w:r>
        <w:t xml:space="preserve">Variance % (This year </w:t>
      </w:r>
      <w:r w:rsidR="008C0301">
        <w:t>vs.</w:t>
      </w:r>
      <w:r>
        <w:t xml:space="preserve"> Budget):</w:t>
      </w:r>
      <w:r>
        <w:tab/>
        <w:t>= (Variance/Budget)*100%</w:t>
      </w:r>
    </w:p>
    <w:p w:rsidR="003A678B" w:rsidRDefault="003A678B" w:rsidP="003A678B">
      <w:pPr>
        <w:pStyle w:val="ListParagraph"/>
      </w:pPr>
    </w:p>
    <w:p w:rsidR="003A678B" w:rsidRPr="003A678B" w:rsidRDefault="003A678B" w:rsidP="003A678B">
      <w:pPr>
        <w:pStyle w:val="ListParagraph"/>
        <w:ind w:left="0"/>
      </w:pPr>
      <w:r w:rsidRPr="003A678B">
        <w:rPr>
          <w:b/>
        </w:rPr>
        <w:t>Top Portion of the Report:</w:t>
      </w:r>
    </w:p>
    <w:p w:rsidR="003A678B" w:rsidRPr="003A678B" w:rsidRDefault="003A678B" w:rsidP="003A678B">
      <w:pPr>
        <w:pStyle w:val="ListParagraph"/>
        <w:ind w:left="0"/>
        <w:rPr>
          <w:b/>
        </w:rPr>
      </w:pPr>
      <w:r w:rsidRPr="003A678B">
        <w:rPr>
          <w:b/>
        </w:rPr>
        <w:t>Calculated fields:</w:t>
      </w:r>
    </w:p>
    <w:p w:rsidR="003A678B" w:rsidRPr="00F87962" w:rsidRDefault="003A678B" w:rsidP="003A678B">
      <w:pPr>
        <w:pStyle w:val="ListParagraph"/>
        <w:numPr>
          <w:ilvl w:val="0"/>
          <w:numId w:val="15"/>
        </w:numPr>
      </w:pPr>
      <w:r w:rsidRPr="00F87962">
        <w:t xml:space="preserve">Gross Profit </w:t>
      </w:r>
      <w:r w:rsidRPr="00F87962">
        <w:tab/>
      </w:r>
      <w:r w:rsidRPr="00F87962">
        <w:tab/>
      </w:r>
      <w:r>
        <w:t xml:space="preserve">                             </w:t>
      </w:r>
      <w:r w:rsidRPr="00F87962">
        <w:t>= Sales Net – Cost of goods sold</w:t>
      </w:r>
    </w:p>
    <w:p w:rsidR="003A678B" w:rsidRPr="00F87962" w:rsidRDefault="003A678B" w:rsidP="003A678B">
      <w:pPr>
        <w:pStyle w:val="ListParagraph"/>
        <w:numPr>
          <w:ilvl w:val="0"/>
          <w:numId w:val="14"/>
        </w:numPr>
      </w:pPr>
      <w:r w:rsidRPr="00F87962">
        <w:t>Operating Profit</w:t>
      </w:r>
      <w:r w:rsidRPr="00F87962">
        <w:tab/>
      </w:r>
      <w:r>
        <w:t xml:space="preserve">                             </w:t>
      </w:r>
      <w:r w:rsidRPr="00F87962">
        <w:t>= Gross Profit – Selling and distribution expenses</w:t>
      </w:r>
    </w:p>
    <w:p w:rsidR="003A678B" w:rsidRDefault="003A678B" w:rsidP="003A678B">
      <w:pPr>
        <w:pStyle w:val="ListParagraph"/>
        <w:numPr>
          <w:ilvl w:val="0"/>
          <w:numId w:val="14"/>
        </w:numPr>
      </w:pPr>
      <w:r w:rsidRPr="00F87962">
        <w:t>Income Before Provision for Taxes</w:t>
      </w:r>
      <w:r w:rsidRPr="00F87962">
        <w:tab/>
        <w:t>= Operating Profit + Other income (expense)</w:t>
      </w:r>
    </w:p>
    <w:p w:rsidR="003A678B" w:rsidRDefault="003A678B" w:rsidP="003A678B">
      <w:pPr>
        <w:pStyle w:val="ListParagraph"/>
        <w:numPr>
          <w:ilvl w:val="0"/>
          <w:numId w:val="14"/>
        </w:numPr>
      </w:pPr>
      <w:r>
        <w:t xml:space="preserve">Variance (This year </w:t>
      </w:r>
      <w:r w:rsidR="008C0301">
        <w:t>vs.</w:t>
      </w:r>
      <w:r>
        <w:t xml:space="preserve"> Budget):</w:t>
      </w:r>
      <w:r>
        <w:tab/>
      </w:r>
      <w:r>
        <w:tab/>
        <w:t>= Actual – Budget</w:t>
      </w:r>
    </w:p>
    <w:p w:rsidR="003A678B" w:rsidRDefault="003A678B" w:rsidP="003A678B">
      <w:pPr>
        <w:pStyle w:val="ListParagraph"/>
        <w:numPr>
          <w:ilvl w:val="0"/>
          <w:numId w:val="14"/>
        </w:numPr>
      </w:pPr>
      <w:r>
        <w:t xml:space="preserve">Variance % (This year </w:t>
      </w:r>
      <w:r w:rsidR="008C0301">
        <w:t>vs.</w:t>
      </w:r>
      <w:r>
        <w:t xml:space="preserve"> Budget):</w:t>
      </w:r>
      <w:r>
        <w:tab/>
        <w:t>= (Variance/Budget)*100%</w:t>
      </w:r>
    </w:p>
    <w:p w:rsidR="003A678B" w:rsidRDefault="003A678B" w:rsidP="003A678B">
      <w:pPr>
        <w:pStyle w:val="ListParagraph"/>
        <w:numPr>
          <w:ilvl w:val="0"/>
          <w:numId w:val="14"/>
        </w:numPr>
      </w:pPr>
      <w:r>
        <w:t xml:space="preserve">Variance (This year </w:t>
      </w:r>
      <w:r w:rsidR="008C0301">
        <w:t>vs.</w:t>
      </w:r>
      <w:r>
        <w:t xml:space="preserve"> Last Year):</w:t>
      </w:r>
      <w:r>
        <w:tab/>
        <w:t>= Actual – Last Year</w:t>
      </w:r>
    </w:p>
    <w:p w:rsidR="008A17CC" w:rsidRPr="00F87962" w:rsidRDefault="008A17CC" w:rsidP="005C36A6">
      <w:pPr>
        <w:pStyle w:val="ListParagraph"/>
        <w:numPr>
          <w:ilvl w:val="0"/>
          <w:numId w:val="14"/>
        </w:numPr>
      </w:pPr>
      <w:r>
        <w:t xml:space="preserve">Variance % (This year </w:t>
      </w:r>
      <w:r w:rsidR="008C0301">
        <w:t>vs.</w:t>
      </w:r>
      <w:r>
        <w:t xml:space="preserve"> Last Year):</w:t>
      </w:r>
      <w:r>
        <w:tab/>
        <w:t>= (Variance/Last Year)*100%</w:t>
      </w:r>
    </w:p>
    <w:p w:rsidR="0099563B" w:rsidRPr="00DC5A2A" w:rsidRDefault="00DC5A2A" w:rsidP="0035338D">
      <w:pPr>
        <w:rPr>
          <w:b/>
        </w:rPr>
      </w:pPr>
      <w:r w:rsidRPr="00DC5A2A">
        <w:rPr>
          <w:b/>
        </w:rPr>
        <w:t>GL Hierachy</w:t>
      </w:r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 hierarchy can be found in ECC Tcode OB58</w:t>
      </w:r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Statement Version 0010, the portion under “Profit&amp;Loss Statement”. </w:t>
      </w:r>
      <w:bookmarkStart w:id="0" w:name="_GoBack"/>
      <w:bookmarkEnd w:id="0"/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below items should be included in FI reports:</w:t>
      </w:r>
    </w:p>
    <w:p w:rsidR="00DC5A2A" w:rsidRDefault="00DC5A2A" w:rsidP="00DC5A2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Net</w:t>
      </w:r>
    </w:p>
    <w:p w:rsidR="00DC5A2A" w:rsidRDefault="00DC5A2A" w:rsidP="00DC5A2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of Goods Sold</w:t>
      </w:r>
    </w:p>
    <w:p w:rsidR="00DC5A2A" w:rsidRDefault="00DC5A2A" w:rsidP="00DC5A2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Selling and distribution expenses</w:t>
      </w:r>
    </w:p>
    <w:p w:rsidR="00DC5A2A" w:rsidRDefault="00DC5A2A" w:rsidP="00DC5A2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Income(expense)</w:t>
      </w:r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11782425" cy="6496050"/>
            <wp:effectExtent l="0" t="0" r="9525" b="0"/>
            <wp:docPr id="6" name="Picture 6" descr="cid:image001.png@01CE5C46.DDA7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5C46.DDA7062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2A" w:rsidRDefault="00DC5A2A" w:rsidP="00DC5A2A">
      <w:pPr>
        <w:rPr>
          <w:rFonts w:ascii="Arial" w:hAnsi="Arial" w:cs="Arial"/>
          <w:sz w:val="20"/>
          <w:szCs w:val="20"/>
        </w:rPr>
      </w:pPr>
    </w:p>
    <w:p w:rsidR="00DC5A2A" w:rsidRPr="00DC5A2A" w:rsidRDefault="00DC5A2A" w:rsidP="0035338D">
      <w:pPr>
        <w:rPr>
          <w:rFonts w:ascii="Arial" w:hAnsi="Arial" w:cs="Arial"/>
          <w:sz w:val="20"/>
          <w:szCs w:val="20"/>
        </w:rPr>
      </w:pPr>
    </w:p>
    <w:p w:rsidR="007A6214" w:rsidRPr="000D621B" w:rsidRDefault="007A6214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Assumptions</w:t>
      </w:r>
      <w:r w:rsidRPr="000D621B">
        <w:rPr>
          <w:b/>
          <w:color w:val="808080" w:themeColor="background1" w:themeShade="80"/>
          <w:sz w:val="36"/>
        </w:rPr>
        <w:t>:</w:t>
      </w:r>
    </w:p>
    <w:p w:rsidR="00075587" w:rsidRDefault="00075587" w:rsidP="007A6214"/>
    <w:p w:rsidR="00071FFA" w:rsidRPr="000D621B" w:rsidRDefault="00071FFA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Known Issues:</w:t>
      </w:r>
    </w:p>
    <w:p w:rsidR="006F1DF4" w:rsidRDefault="008C0301" w:rsidP="007A6214">
      <w:r>
        <w:lastRenderedPageBreak/>
        <w:t>Existing</w:t>
      </w:r>
      <w:r w:rsidR="00630352">
        <w:t xml:space="preserve"> FI210 </w:t>
      </w:r>
      <w:r w:rsidR="00C86D2B">
        <w:t xml:space="preserve">and FI213 </w:t>
      </w:r>
      <w:r w:rsidR="00122180">
        <w:t xml:space="preserve">are similar to FI110 and FI113, and they </w:t>
      </w:r>
      <w:r>
        <w:t>contain</w:t>
      </w:r>
      <w:r w:rsidR="00122180">
        <w:t xml:space="preserve"> company codes for the purpose of grouping by region. The company code needs to be manually added to the two reports. </w:t>
      </w:r>
      <w:r w:rsidR="00630352">
        <w:t xml:space="preserve"> </w:t>
      </w:r>
      <w:r w:rsidR="00122180">
        <w:t xml:space="preserve">The manual process of adding company code and the use of Monarch need to be eliminated, </w:t>
      </w:r>
    </w:p>
    <w:p w:rsidR="00075587" w:rsidRDefault="00075587" w:rsidP="007A6214"/>
    <w:p w:rsidR="001E57C8" w:rsidRPr="005E3FCE" w:rsidRDefault="001E57C8" w:rsidP="005E3FCE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Technical</w:t>
      </w:r>
      <w:r w:rsidRPr="000D621B">
        <w:rPr>
          <w:b/>
          <w:color w:val="808080" w:themeColor="background1" w:themeShade="80"/>
          <w:sz w:val="36"/>
        </w:rPr>
        <w:t xml:space="preserve"> </w:t>
      </w:r>
      <w:r>
        <w:rPr>
          <w:b/>
          <w:color w:val="808080" w:themeColor="background1" w:themeShade="80"/>
          <w:sz w:val="36"/>
        </w:rPr>
        <w:t>Specification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728"/>
        <w:gridCol w:w="1172"/>
        <w:gridCol w:w="6660"/>
      </w:tblGrid>
      <w:tr w:rsidR="001E57C8" w:rsidRPr="00D44E49" w:rsidTr="00053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</w:tcPr>
          <w:p w:rsidR="001E57C8" w:rsidRPr="00D44E49" w:rsidRDefault="001E57C8" w:rsidP="00195B7F">
            <w:pPr>
              <w:ind w:left="-90"/>
            </w:pPr>
            <w:r>
              <w:t>Object</w:t>
            </w:r>
          </w:p>
        </w:tc>
        <w:tc>
          <w:tcPr>
            <w:tcW w:w="1172" w:type="dxa"/>
            <w:tcBorders>
              <w:bottom w:val="single" w:sz="8" w:space="0" w:color="000000" w:themeColor="text1"/>
            </w:tcBorders>
          </w:tcPr>
          <w:p w:rsidR="001E57C8" w:rsidRPr="00D44E49" w:rsidRDefault="001E57C8" w:rsidP="00195B7F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6660" w:type="dxa"/>
            <w:tcBorders>
              <w:bottom w:val="single" w:sz="8" w:space="0" w:color="000000" w:themeColor="text1"/>
            </w:tcBorders>
          </w:tcPr>
          <w:p w:rsidR="001E57C8" w:rsidRPr="00D44E49" w:rsidRDefault="001E57C8" w:rsidP="00195B7F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1E57C8" w:rsidRPr="00D44E49" w:rsidTr="0005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1E57C8" w:rsidRPr="00A47CE5" w:rsidRDefault="001E57C8" w:rsidP="00195B7F">
            <w:pPr>
              <w:ind w:left="-90"/>
              <w:rPr>
                <w:b w:val="0"/>
              </w:rPr>
            </w:pPr>
          </w:p>
        </w:tc>
        <w:tc>
          <w:tcPr>
            <w:tcW w:w="117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7C8" w:rsidRPr="00D44E49" w:rsidRDefault="001E57C8" w:rsidP="00195B7F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1E57C8" w:rsidRPr="00D44E49" w:rsidRDefault="001E57C8" w:rsidP="00A47CE5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7C8" w:rsidRPr="00D44E49" w:rsidTr="00053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7C8" w:rsidRPr="007F3EB5" w:rsidRDefault="001E57C8" w:rsidP="00195B7F">
            <w:pPr>
              <w:ind w:left="-90"/>
              <w:rPr>
                <w:b w:val="0"/>
              </w:rPr>
            </w:pP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7C8" w:rsidRPr="00D44E49" w:rsidRDefault="001E57C8" w:rsidP="00195B7F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1E57C8" w:rsidRPr="00D44E49" w:rsidRDefault="001E57C8" w:rsidP="00053DF5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E57C8" w:rsidRDefault="001E57C8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1B212D" w:rsidRDefault="001B212D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Transports: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728"/>
        <w:gridCol w:w="1170"/>
        <w:gridCol w:w="6660"/>
      </w:tblGrid>
      <w:tr w:rsidR="001B212D" w:rsidRPr="00D44E49" w:rsidTr="0061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</w:tcPr>
          <w:p w:rsidR="001B212D" w:rsidRPr="00D44E49" w:rsidRDefault="001B212D" w:rsidP="00615BE1">
            <w:pPr>
              <w:ind w:left="-90"/>
            </w:pPr>
            <w:r>
              <w:t>Transport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:rsidR="001B212D" w:rsidRPr="00D44E49" w:rsidRDefault="001B212D" w:rsidP="00615BE1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  <w:tc>
          <w:tcPr>
            <w:tcW w:w="6660" w:type="dxa"/>
            <w:tcBorders>
              <w:bottom w:val="single" w:sz="8" w:space="0" w:color="000000" w:themeColor="text1"/>
            </w:tcBorders>
          </w:tcPr>
          <w:p w:rsidR="001B212D" w:rsidRPr="00D44E49" w:rsidRDefault="001B212D" w:rsidP="00615BE1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1B212D" w:rsidRPr="00D44E49" w:rsidTr="0061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1B212D" w:rsidRPr="009F507B" w:rsidRDefault="001B212D" w:rsidP="00615BE1">
            <w:pPr>
              <w:ind w:left="-90"/>
              <w:rPr>
                <w:b w:val="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B212D" w:rsidRPr="00D44E49" w:rsidRDefault="001B212D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1B212D" w:rsidRPr="00D44E49" w:rsidRDefault="001B212D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B212D" w:rsidRDefault="001B212D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7A6214" w:rsidRPr="000D621B" w:rsidRDefault="007A6214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Test Scenarios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11250" w:type="dxa"/>
        <w:tblInd w:w="-79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1800"/>
        <w:gridCol w:w="1620"/>
        <w:gridCol w:w="1170"/>
        <w:gridCol w:w="810"/>
        <w:gridCol w:w="450"/>
      </w:tblGrid>
      <w:tr w:rsidR="00B8497F" w:rsidRPr="003E2BA0" w:rsidTr="00B8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B8497F" w:rsidRPr="003E2BA0" w:rsidRDefault="00B8497F" w:rsidP="00087904">
            <w:pPr>
              <w:ind w:left="-9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4950" w:type="dxa"/>
          </w:tcPr>
          <w:p w:rsidR="00B8497F" w:rsidRPr="003E2BA0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Test Scenario</w:t>
            </w:r>
          </w:p>
        </w:tc>
        <w:tc>
          <w:tcPr>
            <w:tcW w:w="1800" w:type="dxa"/>
          </w:tcPr>
          <w:p w:rsidR="00B8497F" w:rsidRPr="003E2BA0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Expected Results</w:t>
            </w:r>
          </w:p>
        </w:tc>
        <w:tc>
          <w:tcPr>
            <w:tcW w:w="1620" w:type="dxa"/>
          </w:tcPr>
          <w:p w:rsidR="00B8497F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Actual Results</w:t>
            </w:r>
          </w:p>
        </w:tc>
        <w:tc>
          <w:tcPr>
            <w:tcW w:w="1170" w:type="dxa"/>
          </w:tcPr>
          <w:p w:rsidR="00B8497F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Tester</w:t>
            </w:r>
          </w:p>
        </w:tc>
        <w:tc>
          <w:tcPr>
            <w:tcW w:w="810" w:type="dxa"/>
          </w:tcPr>
          <w:p w:rsidR="00B8497F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50" w:type="dxa"/>
          </w:tcPr>
          <w:p w:rsidR="00B8497F" w:rsidRPr="003E2BA0" w:rsidRDefault="00B8497F" w:rsidP="00087904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P/F</w:t>
            </w:r>
          </w:p>
        </w:tc>
      </w:tr>
      <w:tr w:rsidR="00B8497F" w:rsidTr="00B8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B8497F" w:rsidRPr="00C73351" w:rsidRDefault="00611C5E" w:rsidP="00087904">
            <w:pPr>
              <w:pStyle w:val="NormalWeb"/>
              <w:snapToGrid w:val="0"/>
              <w:spacing w:before="28"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50" w:type="dxa"/>
          </w:tcPr>
          <w:p w:rsidR="00B8497F" w:rsidRPr="00736547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497F" w:rsidRPr="00736547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B8497F" w:rsidRPr="00C73351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B8497F" w:rsidRPr="00C73351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8497F" w:rsidRPr="00C73351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</w:tcPr>
          <w:p w:rsidR="00B8497F" w:rsidRPr="00C73351" w:rsidRDefault="00B8497F" w:rsidP="00087904">
            <w:pPr>
              <w:pStyle w:val="NormalWeb"/>
              <w:snapToGrid w:val="0"/>
              <w:spacing w:before="28" w:after="0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6214" w:rsidRDefault="007A6214" w:rsidP="007A6214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106CB6" w:rsidRDefault="00106CB6" w:rsidP="00AC3F00">
      <w:pPr>
        <w:spacing w:after="20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Panaya Scripts: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728"/>
        <w:gridCol w:w="1170"/>
        <w:gridCol w:w="6660"/>
      </w:tblGrid>
      <w:tr w:rsidR="00106CB6" w:rsidRPr="00D44E49" w:rsidTr="0061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</w:tcPr>
          <w:p w:rsidR="00106CB6" w:rsidRPr="00D44E49" w:rsidRDefault="00106CB6" w:rsidP="00615BE1">
            <w:pPr>
              <w:ind w:left="-90"/>
            </w:pPr>
            <w:r>
              <w:t>Panaya Script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Tester</w:t>
            </w:r>
          </w:p>
        </w:tc>
        <w:tc>
          <w:tcPr>
            <w:tcW w:w="6660" w:type="dxa"/>
            <w:tcBorders>
              <w:bottom w:val="single" w:sz="8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106CB6" w:rsidRPr="00D44E49" w:rsidTr="0061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9F507B" w:rsidRDefault="00106CB6" w:rsidP="00615BE1">
            <w:pPr>
              <w:ind w:left="-90"/>
              <w:rPr>
                <w:b w:val="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6CB6" w:rsidRPr="00D44E49" w:rsidTr="0061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6CB6" w:rsidRPr="00D44E49" w:rsidTr="0061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106CB6" w:rsidRPr="00D44E49" w:rsidRDefault="00106CB6" w:rsidP="00615BE1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6214" w:rsidRDefault="007A6214" w:rsidP="007A6214"/>
    <w:p w:rsidR="00FF00D8" w:rsidRDefault="00FF00D8" w:rsidP="00FF00D8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TDMS Requirements:</w:t>
      </w:r>
    </w:p>
    <w:p w:rsidR="00FF00D8" w:rsidRPr="00D601C0" w:rsidRDefault="00FF00D8" w:rsidP="00D601C0">
      <w:pPr>
        <w:rPr>
          <w:b/>
        </w:rPr>
      </w:pPr>
      <w:r>
        <w:t xml:space="preserve">Is a new TDMS client required?  </w:t>
      </w:r>
      <w:r w:rsidR="00D601C0">
        <w:rPr>
          <w:b/>
        </w:rPr>
        <w:t>No</w:t>
      </w:r>
      <w:r w:rsidR="001652FD">
        <w:rPr>
          <w:b/>
        </w:rPr>
        <w:t>.</w:t>
      </w:r>
    </w:p>
    <w:p w:rsidR="00FF00D8" w:rsidRDefault="00FF00D8" w:rsidP="007A6214"/>
    <w:p w:rsidR="00FF00D8" w:rsidRDefault="00FF00D8" w:rsidP="00FF00D8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uPerform / RWD:</w:t>
      </w:r>
    </w:p>
    <w:p w:rsidR="00FF00D8" w:rsidRDefault="00AD3A68" w:rsidP="007A6214">
      <w:r>
        <w:t xml:space="preserve">Are uPerforms required?  </w:t>
      </w:r>
      <w:r w:rsidR="00D601C0">
        <w:rPr>
          <w:b/>
        </w:rPr>
        <w:t>Yes and it should be created in English.</w:t>
      </w:r>
    </w:p>
    <w:sectPr w:rsidR="00FF00D8" w:rsidSect="00662667">
      <w:headerReference w:type="default" r:id="rId21"/>
      <w:footerReference w:type="default" r:id="rId22"/>
      <w:pgSz w:w="12240" w:h="15840"/>
      <w:pgMar w:top="108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3" w:rsidRDefault="007A1543" w:rsidP="00514781">
      <w:pPr>
        <w:spacing w:after="0" w:line="240" w:lineRule="auto"/>
      </w:pPr>
      <w:r>
        <w:separator/>
      </w:r>
    </w:p>
  </w:endnote>
  <w:endnote w:type="continuationSeparator" w:id="0">
    <w:p w:rsidR="007A1543" w:rsidRDefault="007A1543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76B1" w:rsidRDefault="00F730D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776B1">
          <w:instrText xml:space="preserve"> PAGE   \* MERGEFORMAT </w:instrText>
        </w:r>
        <w:r>
          <w:fldChar w:fldCharType="separate"/>
        </w:r>
        <w:r w:rsidR="00DC5A2A" w:rsidRPr="00DC5A2A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C776B1">
          <w:rPr>
            <w:b/>
          </w:rPr>
          <w:t xml:space="preserve"> | </w:t>
        </w:r>
        <w:r w:rsidR="00C776B1">
          <w:rPr>
            <w:color w:val="7F7F7F" w:themeColor="background1" w:themeShade="7F"/>
            <w:spacing w:val="60"/>
          </w:rPr>
          <w:t>Page</w:t>
        </w:r>
      </w:p>
    </w:sdtContent>
  </w:sdt>
  <w:p w:rsidR="00C776B1" w:rsidRDefault="00C7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3" w:rsidRDefault="007A1543" w:rsidP="00514781">
      <w:pPr>
        <w:spacing w:after="0" w:line="240" w:lineRule="auto"/>
      </w:pPr>
      <w:r>
        <w:separator/>
      </w:r>
    </w:p>
  </w:footnote>
  <w:footnote w:type="continuationSeparator" w:id="0">
    <w:p w:rsidR="007A1543" w:rsidRDefault="007A1543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B1" w:rsidRPr="00662667" w:rsidRDefault="00C776B1" w:rsidP="00662667">
    <w:pPr>
      <w:pStyle w:val="Header"/>
      <w:ind w:left="-90"/>
      <w:rPr>
        <w:b/>
        <w:color w:val="BFBFBF" w:themeColor="background1" w:themeShade="BF"/>
        <w:sz w:val="24"/>
      </w:rPr>
    </w:pPr>
    <w:r w:rsidRPr="00662667">
      <w:rPr>
        <w:b/>
        <w:color w:val="BFBFBF" w:themeColor="background1" w:themeShade="BF"/>
        <w:sz w:val="36"/>
      </w:rPr>
      <w:t xml:space="preserve">New Era </w:t>
    </w:r>
    <w:r w:rsidR="0031704B">
      <w:rPr>
        <w:b/>
        <w:color w:val="BFBFBF" w:themeColor="background1" w:themeShade="BF"/>
        <w:sz w:val="36"/>
      </w:rPr>
      <w:t>Specification</w:t>
    </w:r>
    <w:r w:rsidRPr="00662667">
      <w:rPr>
        <w:b/>
        <w:color w:val="BFBFBF" w:themeColor="background1" w:themeShade="BF"/>
        <w:sz w:val="36"/>
      </w:rPr>
      <w:t xml:space="preserve">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CD4504"/>
    <w:multiLevelType w:val="hybridMultilevel"/>
    <w:tmpl w:val="EE7A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16300"/>
    <w:multiLevelType w:val="hybridMultilevel"/>
    <w:tmpl w:val="81E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4974D65"/>
    <w:multiLevelType w:val="hybridMultilevel"/>
    <w:tmpl w:val="B44C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30A47"/>
    <w:multiLevelType w:val="hybridMultilevel"/>
    <w:tmpl w:val="F95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1"/>
    <w:rsid w:val="00010B14"/>
    <w:rsid w:val="00017D55"/>
    <w:rsid w:val="00025BD9"/>
    <w:rsid w:val="00025D7F"/>
    <w:rsid w:val="000272DF"/>
    <w:rsid w:val="00053DF5"/>
    <w:rsid w:val="00070D19"/>
    <w:rsid w:val="00071FFA"/>
    <w:rsid w:val="00075587"/>
    <w:rsid w:val="000814CF"/>
    <w:rsid w:val="0008620C"/>
    <w:rsid w:val="000A0FD0"/>
    <w:rsid w:val="000A23A6"/>
    <w:rsid w:val="000A4D33"/>
    <w:rsid w:val="000B05F5"/>
    <w:rsid w:val="000D2739"/>
    <w:rsid w:val="000D5626"/>
    <w:rsid w:val="000D621B"/>
    <w:rsid w:val="00102ACF"/>
    <w:rsid w:val="00106CB6"/>
    <w:rsid w:val="00113887"/>
    <w:rsid w:val="00122180"/>
    <w:rsid w:val="00127FE8"/>
    <w:rsid w:val="0014587C"/>
    <w:rsid w:val="0016354B"/>
    <w:rsid w:val="001652FD"/>
    <w:rsid w:val="00170E2A"/>
    <w:rsid w:val="00171DD3"/>
    <w:rsid w:val="001720EE"/>
    <w:rsid w:val="00175537"/>
    <w:rsid w:val="0018115B"/>
    <w:rsid w:val="00186DEE"/>
    <w:rsid w:val="00195D69"/>
    <w:rsid w:val="001977BF"/>
    <w:rsid w:val="001A72C4"/>
    <w:rsid w:val="001B212D"/>
    <w:rsid w:val="001C22F5"/>
    <w:rsid w:val="001C3935"/>
    <w:rsid w:val="001D7226"/>
    <w:rsid w:val="001E2687"/>
    <w:rsid w:val="001E57C8"/>
    <w:rsid w:val="001E5A72"/>
    <w:rsid w:val="001F10BC"/>
    <w:rsid w:val="001F1F63"/>
    <w:rsid w:val="001F22E0"/>
    <w:rsid w:val="001F4966"/>
    <w:rsid w:val="002063E8"/>
    <w:rsid w:val="00207F98"/>
    <w:rsid w:val="0021297D"/>
    <w:rsid w:val="00213172"/>
    <w:rsid w:val="002232EF"/>
    <w:rsid w:val="002543DA"/>
    <w:rsid w:val="00271BDC"/>
    <w:rsid w:val="00297CB8"/>
    <w:rsid w:val="002A64F2"/>
    <w:rsid w:val="002D60B2"/>
    <w:rsid w:val="002F1CA7"/>
    <w:rsid w:val="002F2A6F"/>
    <w:rsid w:val="00304421"/>
    <w:rsid w:val="00305112"/>
    <w:rsid w:val="00315FCC"/>
    <w:rsid w:val="0031704B"/>
    <w:rsid w:val="00330F16"/>
    <w:rsid w:val="003315CA"/>
    <w:rsid w:val="00347102"/>
    <w:rsid w:val="00352E47"/>
    <w:rsid w:val="0035338D"/>
    <w:rsid w:val="0036138D"/>
    <w:rsid w:val="00375EE9"/>
    <w:rsid w:val="003A3463"/>
    <w:rsid w:val="003A678B"/>
    <w:rsid w:val="003E258F"/>
    <w:rsid w:val="003E2BA0"/>
    <w:rsid w:val="003E2D78"/>
    <w:rsid w:val="003E7378"/>
    <w:rsid w:val="0040432C"/>
    <w:rsid w:val="0041053D"/>
    <w:rsid w:val="004412F0"/>
    <w:rsid w:val="004429B5"/>
    <w:rsid w:val="0045698D"/>
    <w:rsid w:val="004875C5"/>
    <w:rsid w:val="004931CE"/>
    <w:rsid w:val="00496F3C"/>
    <w:rsid w:val="004A24D7"/>
    <w:rsid w:val="004A5D65"/>
    <w:rsid w:val="004B2647"/>
    <w:rsid w:val="004E0E79"/>
    <w:rsid w:val="00511119"/>
    <w:rsid w:val="00514781"/>
    <w:rsid w:val="00521183"/>
    <w:rsid w:val="00532D5E"/>
    <w:rsid w:val="0053628D"/>
    <w:rsid w:val="00555BDE"/>
    <w:rsid w:val="00560490"/>
    <w:rsid w:val="0056442F"/>
    <w:rsid w:val="005730EC"/>
    <w:rsid w:val="005733F9"/>
    <w:rsid w:val="00585C0D"/>
    <w:rsid w:val="00587B48"/>
    <w:rsid w:val="005977D8"/>
    <w:rsid w:val="005A3BEE"/>
    <w:rsid w:val="005C36A6"/>
    <w:rsid w:val="005E3571"/>
    <w:rsid w:val="005E3FCE"/>
    <w:rsid w:val="005E69B7"/>
    <w:rsid w:val="005F15AB"/>
    <w:rsid w:val="005F42DE"/>
    <w:rsid w:val="00611C5E"/>
    <w:rsid w:val="0061426F"/>
    <w:rsid w:val="00623177"/>
    <w:rsid w:val="00630352"/>
    <w:rsid w:val="00632AD4"/>
    <w:rsid w:val="00634BA7"/>
    <w:rsid w:val="0065096B"/>
    <w:rsid w:val="006513B3"/>
    <w:rsid w:val="00662667"/>
    <w:rsid w:val="00663240"/>
    <w:rsid w:val="006654FF"/>
    <w:rsid w:val="00665FA7"/>
    <w:rsid w:val="006705CC"/>
    <w:rsid w:val="00675F3E"/>
    <w:rsid w:val="006A4A56"/>
    <w:rsid w:val="006A66EF"/>
    <w:rsid w:val="006D3B3E"/>
    <w:rsid w:val="006E68CD"/>
    <w:rsid w:val="006F1DF4"/>
    <w:rsid w:val="00701545"/>
    <w:rsid w:val="00714A10"/>
    <w:rsid w:val="0072510D"/>
    <w:rsid w:val="00727A91"/>
    <w:rsid w:val="00730148"/>
    <w:rsid w:val="007736B4"/>
    <w:rsid w:val="007A1543"/>
    <w:rsid w:val="007A4E83"/>
    <w:rsid w:val="007A6214"/>
    <w:rsid w:val="007B1AEF"/>
    <w:rsid w:val="007B5C74"/>
    <w:rsid w:val="007D24E7"/>
    <w:rsid w:val="007E0F10"/>
    <w:rsid w:val="007F3EB5"/>
    <w:rsid w:val="007F5186"/>
    <w:rsid w:val="007F68FF"/>
    <w:rsid w:val="0082471D"/>
    <w:rsid w:val="00832E09"/>
    <w:rsid w:val="008341E4"/>
    <w:rsid w:val="008414C6"/>
    <w:rsid w:val="0085370F"/>
    <w:rsid w:val="008537BD"/>
    <w:rsid w:val="008658F0"/>
    <w:rsid w:val="00870824"/>
    <w:rsid w:val="008A15E8"/>
    <w:rsid w:val="008A17CC"/>
    <w:rsid w:val="008B0DE2"/>
    <w:rsid w:val="008B1B02"/>
    <w:rsid w:val="008B3759"/>
    <w:rsid w:val="008B4644"/>
    <w:rsid w:val="008C0301"/>
    <w:rsid w:val="008C138D"/>
    <w:rsid w:val="008D5D5C"/>
    <w:rsid w:val="008E0817"/>
    <w:rsid w:val="008E20EE"/>
    <w:rsid w:val="008E5ADA"/>
    <w:rsid w:val="008F03B7"/>
    <w:rsid w:val="008F3DAE"/>
    <w:rsid w:val="008F62F5"/>
    <w:rsid w:val="0091399C"/>
    <w:rsid w:val="00922C60"/>
    <w:rsid w:val="0099563B"/>
    <w:rsid w:val="009B5158"/>
    <w:rsid w:val="009C3B95"/>
    <w:rsid w:val="009D7CAC"/>
    <w:rsid w:val="009E6A78"/>
    <w:rsid w:val="009F1C68"/>
    <w:rsid w:val="009F507B"/>
    <w:rsid w:val="009F6E49"/>
    <w:rsid w:val="00A0028D"/>
    <w:rsid w:val="00A1533C"/>
    <w:rsid w:val="00A17AB0"/>
    <w:rsid w:val="00A4524F"/>
    <w:rsid w:val="00A4775B"/>
    <w:rsid w:val="00A47CE5"/>
    <w:rsid w:val="00A57D19"/>
    <w:rsid w:val="00A86867"/>
    <w:rsid w:val="00A9268F"/>
    <w:rsid w:val="00A92809"/>
    <w:rsid w:val="00A95515"/>
    <w:rsid w:val="00AC1CB8"/>
    <w:rsid w:val="00AC3F00"/>
    <w:rsid w:val="00AD3384"/>
    <w:rsid w:val="00AD3A68"/>
    <w:rsid w:val="00B444EA"/>
    <w:rsid w:val="00B45EA9"/>
    <w:rsid w:val="00B55A71"/>
    <w:rsid w:val="00B56705"/>
    <w:rsid w:val="00B620F1"/>
    <w:rsid w:val="00B8497F"/>
    <w:rsid w:val="00B91F59"/>
    <w:rsid w:val="00BA52A3"/>
    <w:rsid w:val="00BB5344"/>
    <w:rsid w:val="00BC4367"/>
    <w:rsid w:val="00BE61A9"/>
    <w:rsid w:val="00BF0692"/>
    <w:rsid w:val="00BF0B5F"/>
    <w:rsid w:val="00C1163E"/>
    <w:rsid w:val="00C24EDC"/>
    <w:rsid w:val="00C32F53"/>
    <w:rsid w:val="00C34033"/>
    <w:rsid w:val="00C50FB1"/>
    <w:rsid w:val="00C65125"/>
    <w:rsid w:val="00C667E2"/>
    <w:rsid w:val="00C776B1"/>
    <w:rsid w:val="00C86D2B"/>
    <w:rsid w:val="00C87281"/>
    <w:rsid w:val="00C87EF7"/>
    <w:rsid w:val="00CA2185"/>
    <w:rsid w:val="00CB034F"/>
    <w:rsid w:val="00CB5C2D"/>
    <w:rsid w:val="00CC1484"/>
    <w:rsid w:val="00CC6CFA"/>
    <w:rsid w:val="00CE65CA"/>
    <w:rsid w:val="00CF1B1F"/>
    <w:rsid w:val="00CF1FF7"/>
    <w:rsid w:val="00D010CE"/>
    <w:rsid w:val="00D0361E"/>
    <w:rsid w:val="00D041E5"/>
    <w:rsid w:val="00D15DD6"/>
    <w:rsid w:val="00D20FD5"/>
    <w:rsid w:val="00D44E49"/>
    <w:rsid w:val="00D601C0"/>
    <w:rsid w:val="00D60558"/>
    <w:rsid w:val="00D6521E"/>
    <w:rsid w:val="00D67776"/>
    <w:rsid w:val="00D732DF"/>
    <w:rsid w:val="00D921C2"/>
    <w:rsid w:val="00DA47D4"/>
    <w:rsid w:val="00DC5A2A"/>
    <w:rsid w:val="00DD0FF1"/>
    <w:rsid w:val="00DE6990"/>
    <w:rsid w:val="00DE7B27"/>
    <w:rsid w:val="00DF3F1A"/>
    <w:rsid w:val="00DF47D0"/>
    <w:rsid w:val="00DF5791"/>
    <w:rsid w:val="00DF7C3F"/>
    <w:rsid w:val="00E5717D"/>
    <w:rsid w:val="00E63F72"/>
    <w:rsid w:val="00E644AF"/>
    <w:rsid w:val="00E7014E"/>
    <w:rsid w:val="00E94919"/>
    <w:rsid w:val="00EA6E87"/>
    <w:rsid w:val="00EB535C"/>
    <w:rsid w:val="00ED342A"/>
    <w:rsid w:val="00EE65E5"/>
    <w:rsid w:val="00EF2112"/>
    <w:rsid w:val="00EF7ED0"/>
    <w:rsid w:val="00F16561"/>
    <w:rsid w:val="00F257A3"/>
    <w:rsid w:val="00F53119"/>
    <w:rsid w:val="00F60EF3"/>
    <w:rsid w:val="00F730D8"/>
    <w:rsid w:val="00F87962"/>
    <w:rsid w:val="00F9036E"/>
    <w:rsid w:val="00F919AF"/>
    <w:rsid w:val="00F94FA8"/>
    <w:rsid w:val="00FA04D7"/>
    <w:rsid w:val="00FB0C03"/>
    <w:rsid w:val="00FC2202"/>
    <w:rsid w:val="00FC7AE7"/>
    <w:rsid w:val="00FD34C7"/>
    <w:rsid w:val="00FE443B"/>
    <w:rsid w:val="00FE477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cid:image001.png@01CE5C46.DDA7062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0" ma:contentTypeDescription="Create a new document." ma:contentTypeScope="" ma:versionID="b90ca0d444d1cf2cc5f3ba0489b05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fb3f8578e2c96545ddd70b94e67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69230-8347-4DC5-B3F4-CB032620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035827-E7EB-4BE4-9346-D856481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New Era Cap Company, Inc.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Jeffery M</dc:creator>
  <cp:lastModifiedBy>Joan Profetta</cp:lastModifiedBy>
  <cp:revision>2</cp:revision>
  <cp:lastPrinted>2013-05-20T18:28:00Z</cp:lastPrinted>
  <dcterms:created xsi:type="dcterms:W3CDTF">2013-05-29T13:29:00Z</dcterms:created>
  <dcterms:modified xsi:type="dcterms:W3CDTF">2013-05-29T13:29:00Z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</Properties>
</file>