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883D" w14:textId="38419720" w:rsidR="0031704B" w:rsidRPr="00460BAE" w:rsidRDefault="0031704B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Business Requirement:</w:t>
      </w:r>
    </w:p>
    <w:p w14:paraId="4C1D5744" w14:textId="1269BC7C" w:rsidR="00C35C40" w:rsidRDefault="00C35C40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Kohl’s has gone live on EDI as a new trading partner.  We are out of compliance in terms of some allowances that Kohl’s wants to see on the invoice </w:t>
      </w:r>
      <w:r w:rsidR="004905F1">
        <w:rPr>
          <w:rFonts w:cs="Arial"/>
          <w:sz w:val="20"/>
          <w:szCs w:val="20"/>
        </w:rPr>
        <w:t>that they send in on their purchase order</w:t>
      </w:r>
      <w:r>
        <w:rPr>
          <w:rFonts w:cs="Arial"/>
          <w:sz w:val="20"/>
          <w:szCs w:val="20"/>
        </w:rPr>
        <w:t>.</w:t>
      </w:r>
      <w:r w:rsidR="00226DDC">
        <w:rPr>
          <w:rFonts w:cs="Arial"/>
          <w:sz w:val="20"/>
          <w:szCs w:val="20"/>
        </w:rPr>
        <w:t xml:space="preserve">  Kohl’s will send in percentages that represent 4 allowances they are allowed to take, based on our vendor agreement:</w:t>
      </w:r>
    </w:p>
    <w:p w14:paraId="67BAA53F" w14:textId="6383330F" w:rsidR="00226DDC" w:rsidRDefault="00226DDC" w:rsidP="00226DDC">
      <w:pPr>
        <w:pStyle w:val="ListParagraph"/>
        <w:numPr>
          <w:ilvl w:val="0"/>
          <w:numId w:val="15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New Store Discount</w:t>
      </w:r>
    </w:p>
    <w:p w14:paraId="0A5F78B4" w14:textId="72DA5CA7" w:rsidR="00226DDC" w:rsidRDefault="00226DDC" w:rsidP="00226DDC">
      <w:pPr>
        <w:pStyle w:val="ListParagraph"/>
        <w:numPr>
          <w:ilvl w:val="0"/>
          <w:numId w:val="15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Defective Allowance (MOS)</w:t>
      </w:r>
    </w:p>
    <w:p w14:paraId="1C7C59F7" w14:textId="1DD1C7C4" w:rsidR="00226DDC" w:rsidRDefault="00226DDC" w:rsidP="00226DDC">
      <w:pPr>
        <w:pStyle w:val="ListParagraph"/>
        <w:numPr>
          <w:ilvl w:val="0"/>
          <w:numId w:val="15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Broadcast Optimization</w:t>
      </w:r>
    </w:p>
    <w:p w14:paraId="3E56AA58" w14:textId="72599F13" w:rsidR="00226DDC" w:rsidRDefault="00226DDC" w:rsidP="00226DDC">
      <w:pPr>
        <w:pStyle w:val="ListParagraph"/>
        <w:numPr>
          <w:ilvl w:val="0"/>
          <w:numId w:val="15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Profitability Assistance and Advertising Co-op</w:t>
      </w:r>
    </w:p>
    <w:p w14:paraId="09534B9A" w14:textId="5F23853B" w:rsidR="002E6C4D" w:rsidRPr="002E6C4D" w:rsidRDefault="002E6C4D" w:rsidP="002E6C4D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Because we don’t want Kohl’s to be able to send any percentage in and have it automatically come off the invoice as a discount, we want to make them statistical.  That way, they will see that the discount is available, but will not be automatically taken off the invoice amount when transmitted back to them.</w:t>
      </w:r>
    </w:p>
    <w:p w14:paraId="53A1D569" w14:textId="6C13D6A5" w:rsidR="006F1DF4" w:rsidRPr="00460BAE" w:rsidRDefault="006F1DF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14:paraId="49C2F024" w14:textId="666EB0A3" w:rsidR="00F919D2" w:rsidRPr="00F919D2" w:rsidRDefault="00F919D2" w:rsidP="00FA7892">
      <w:pPr>
        <w:spacing w:after="160" w:line="30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Statistical Pricing Conditions</w:t>
      </w:r>
    </w:p>
    <w:p w14:paraId="399CE80A" w14:textId="2510FC26" w:rsidR="00C35C40" w:rsidRDefault="004905F1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 4 statistical pricing conditions associated with the US pricing procedure that will correspond to the above allowances.</w:t>
      </w:r>
    </w:p>
    <w:p w14:paraId="7A52F618" w14:textId="068B8909" w:rsidR="004905F1" w:rsidRDefault="004905F1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Cap Gemini will map them using a code list in GIS:</w:t>
      </w:r>
    </w:p>
    <w:p w14:paraId="5B5CAAD4" w14:textId="4E6516F1" w:rsidR="004905F1" w:rsidRDefault="004905F1" w:rsidP="004905F1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E750 – </w:t>
      </w:r>
      <w:r>
        <w:rPr>
          <w:rFonts w:cs="Arial"/>
          <w:sz w:val="20"/>
          <w:szCs w:val="20"/>
        </w:rPr>
        <w:t>New Store Discount</w:t>
      </w:r>
    </w:p>
    <w:p w14:paraId="0D127FCE" w14:textId="6C491A2C" w:rsidR="004905F1" w:rsidRDefault="004905F1" w:rsidP="004905F1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I410 – </w:t>
      </w:r>
      <w:r>
        <w:rPr>
          <w:rFonts w:cs="Arial"/>
          <w:sz w:val="20"/>
          <w:szCs w:val="20"/>
        </w:rPr>
        <w:t>Defective Allowance (MOS)</w:t>
      </w:r>
    </w:p>
    <w:p w14:paraId="19BDADD2" w14:textId="37767F7F" w:rsidR="004905F1" w:rsidRDefault="004905F1" w:rsidP="004905F1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A260 – </w:t>
      </w:r>
      <w:r>
        <w:rPr>
          <w:rFonts w:cs="Arial"/>
          <w:sz w:val="20"/>
          <w:szCs w:val="20"/>
        </w:rPr>
        <w:t>Broadcast Optimization</w:t>
      </w:r>
    </w:p>
    <w:p w14:paraId="1CC21CAB" w14:textId="4A578264" w:rsidR="004905F1" w:rsidRDefault="004905F1" w:rsidP="004905F1">
      <w:pPr>
        <w:pStyle w:val="ListParagraph"/>
        <w:numPr>
          <w:ilvl w:val="0"/>
          <w:numId w:val="16"/>
        </w:num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F670 – </w:t>
      </w:r>
      <w:r>
        <w:rPr>
          <w:rFonts w:cs="Arial"/>
          <w:sz w:val="20"/>
          <w:szCs w:val="20"/>
        </w:rPr>
        <w:t>Profitability Assistance and Advertising Co-op</w:t>
      </w:r>
    </w:p>
    <w:p w14:paraId="2BC7F19E" w14:textId="6B95F089" w:rsidR="00F919D2" w:rsidRDefault="00F919D2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Inbound IDOC</w:t>
      </w:r>
    </w:p>
    <w:p w14:paraId="25D8BB06" w14:textId="572CE9EC" w:rsidR="004905F1" w:rsidRDefault="00A1271A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segments they will correspond</w:t>
      </w:r>
      <w:r w:rsidR="00320F33">
        <w:rPr>
          <w:rFonts w:cs="Arial"/>
          <w:sz w:val="20"/>
          <w:szCs w:val="20"/>
        </w:rPr>
        <w:t xml:space="preserve"> to</w:t>
      </w:r>
      <w:r>
        <w:rPr>
          <w:rFonts w:cs="Arial"/>
          <w:sz w:val="20"/>
          <w:szCs w:val="20"/>
        </w:rPr>
        <w:t xml:space="preserve"> in E1EDK05 on the </w:t>
      </w:r>
      <w:r w:rsidR="003C1EFD">
        <w:rPr>
          <w:rFonts w:cs="Arial"/>
          <w:sz w:val="20"/>
          <w:szCs w:val="20"/>
        </w:rPr>
        <w:t xml:space="preserve">incoming purchase order </w:t>
      </w:r>
      <w:r>
        <w:rPr>
          <w:rFonts w:cs="Arial"/>
          <w:sz w:val="20"/>
          <w:szCs w:val="20"/>
        </w:rPr>
        <w:t>iDOC</w:t>
      </w:r>
      <w:r w:rsidR="00F024EB">
        <w:rPr>
          <w:rFonts w:cs="Arial"/>
          <w:sz w:val="20"/>
          <w:szCs w:val="20"/>
        </w:rPr>
        <w:t xml:space="preserve"> are</w:t>
      </w:r>
      <w:r>
        <w:rPr>
          <w:rFonts w:cs="Arial"/>
          <w:sz w:val="20"/>
          <w:szCs w:val="20"/>
        </w:rPr>
        <w:t>:</w:t>
      </w:r>
    </w:p>
    <w:p w14:paraId="37184B24" w14:textId="12E3F627" w:rsidR="00A1271A" w:rsidRDefault="00A1271A" w:rsidP="00A1271A">
      <w:pPr>
        <w:pStyle w:val="ListParagraph"/>
        <w:numPr>
          <w:ilvl w:val="0"/>
          <w:numId w:val="18"/>
        </w:numPr>
        <w:spacing w:after="160" w:line="300" w:lineRule="auto"/>
        <w:rPr>
          <w:rFonts w:cs="Arial"/>
          <w:sz w:val="20"/>
          <w:szCs w:val="20"/>
        </w:rPr>
      </w:pPr>
      <w:r w:rsidRPr="00A1271A">
        <w:rPr>
          <w:rFonts w:cs="Arial"/>
          <w:sz w:val="20"/>
          <w:szCs w:val="20"/>
        </w:rPr>
        <w:t>ALCKZ</w:t>
      </w:r>
      <w:r w:rsidR="00320F33">
        <w:rPr>
          <w:rFonts w:cs="Arial"/>
          <w:sz w:val="20"/>
          <w:szCs w:val="20"/>
        </w:rPr>
        <w:t xml:space="preserve"> – a negative sign because it is an discount</w:t>
      </w:r>
    </w:p>
    <w:p w14:paraId="064B02F7" w14:textId="3F4A2259" w:rsidR="00320F33" w:rsidRDefault="00320F33" w:rsidP="00320F33">
      <w:pPr>
        <w:pStyle w:val="ListParagraph"/>
        <w:numPr>
          <w:ilvl w:val="0"/>
          <w:numId w:val="18"/>
        </w:numPr>
        <w:spacing w:after="160" w:line="300" w:lineRule="auto"/>
        <w:rPr>
          <w:rFonts w:cs="Arial"/>
          <w:sz w:val="20"/>
          <w:szCs w:val="20"/>
        </w:rPr>
      </w:pPr>
      <w:r w:rsidRPr="00320F33">
        <w:rPr>
          <w:rFonts w:cs="Arial"/>
          <w:sz w:val="20"/>
          <w:szCs w:val="20"/>
        </w:rPr>
        <w:t>KSCHL</w:t>
      </w:r>
      <w:r>
        <w:rPr>
          <w:rFonts w:cs="Arial"/>
          <w:sz w:val="20"/>
          <w:szCs w:val="20"/>
        </w:rPr>
        <w:t xml:space="preserve"> </w:t>
      </w:r>
      <w:r w:rsidR="007D4236">
        <w:rPr>
          <w:rFonts w:cs="Arial"/>
          <w:sz w:val="20"/>
          <w:szCs w:val="20"/>
        </w:rPr>
        <w:t>– condition type (that you will be creating and will be mapped via code list by Cap Gemini)</w:t>
      </w:r>
    </w:p>
    <w:p w14:paraId="20CEF999" w14:textId="6BCD4090" w:rsidR="007D4236" w:rsidRDefault="004566B8" w:rsidP="004566B8">
      <w:pPr>
        <w:pStyle w:val="ListParagraph"/>
        <w:numPr>
          <w:ilvl w:val="0"/>
          <w:numId w:val="18"/>
        </w:numPr>
        <w:spacing w:after="160" w:line="300" w:lineRule="auto"/>
        <w:rPr>
          <w:rFonts w:cs="Arial"/>
          <w:sz w:val="20"/>
          <w:szCs w:val="20"/>
        </w:rPr>
      </w:pPr>
      <w:r w:rsidRPr="004566B8">
        <w:rPr>
          <w:rFonts w:cs="Arial"/>
          <w:sz w:val="20"/>
          <w:szCs w:val="20"/>
        </w:rPr>
        <w:t>KPERC</w:t>
      </w:r>
      <w:r>
        <w:rPr>
          <w:rFonts w:cs="Arial"/>
          <w:sz w:val="20"/>
          <w:szCs w:val="20"/>
        </w:rPr>
        <w:t xml:space="preserve"> – the percentage passed in by Kohl’s</w:t>
      </w:r>
    </w:p>
    <w:p w14:paraId="195719BE" w14:textId="1CADDD47" w:rsidR="00406A09" w:rsidRPr="00406A09" w:rsidRDefault="00406A09" w:rsidP="00406A09">
      <w:pPr>
        <w:spacing w:after="160" w:line="300" w:lineRule="auto"/>
        <w:rPr>
          <w:rFonts w:cs="Arial"/>
          <w:sz w:val="20"/>
          <w:szCs w:val="20"/>
        </w:rPr>
      </w:pPr>
      <w:r w:rsidRPr="00406A09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>se new conditions should be calculated after the royalty and commission is calculated.</w:t>
      </w:r>
    </w:p>
    <w:p w14:paraId="4B29C839" w14:textId="1199BED3" w:rsidR="00F919D2" w:rsidRDefault="00F919D2" w:rsidP="00F919D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Outbound IDOC</w:t>
      </w:r>
    </w:p>
    <w:p w14:paraId="2B5FB46F" w14:textId="3174E394" w:rsidR="00F919D2" w:rsidRDefault="003C1EFD" w:rsidP="00F919D2">
      <w:pPr>
        <w:spacing w:after="160" w:line="300" w:lineRule="auto"/>
        <w:rPr>
          <w:rFonts w:cs="Arial"/>
          <w:sz w:val="20"/>
          <w:szCs w:val="20"/>
        </w:rPr>
      </w:pPr>
      <w:r w:rsidRPr="003C1EFD">
        <w:rPr>
          <w:rFonts w:cs="Arial"/>
          <w:sz w:val="20"/>
          <w:szCs w:val="20"/>
        </w:rPr>
        <w:t>The</w:t>
      </w:r>
      <w:r>
        <w:rPr>
          <w:rFonts w:cs="Arial"/>
          <w:sz w:val="20"/>
          <w:szCs w:val="20"/>
        </w:rPr>
        <w:t xml:space="preserve"> segments the conditions will have to correspond to on the invoice are in E1EDK05 and E1EDS01 020.  </w:t>
      </w:r>
    </w:p>
    <w:p w14:paraId="0FAE6C14" w14:textId="1B14BF74" w:rsidR="003C1EFD" w:rsidRDefault="003C1EFD" w:rsidP="00F919D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 E1EDK05, the following fields will have to go out on the outbound IDOC:</w:t>
      </w:r>
    </w:p>
    <w:p w14:paraId="4575241A" w14:textId="77777777" w:rsidR="003C1EFD" w:rsidRDefault="003C1EFD" w:rsidP="003C1EFD">
      <w:pPr>
        <w:pStyle w:val="ListParagraph"/>
        <w:numPr>
          <w:ilvl w:val="0"/>
          <w:numId w:val="19"/>
        </w:numPr>
        <w:spacing w:after="160" w:line="300" w:lineRule="auto"/>
        <w:rPr>
          <w:rFonts w:cs="Arial"/>
          <w:sz w:val="20"/>
          <w:szCs w:val="20"/>
        </w:rPr>
      </w:pPr>
      <w:r w:rsidRPr="00A1271A">
        <w:rPr>
          <w:rFonts w:cs="Arial"/>
          <w:sz w:val="20"/>
          <w:szCs w:val="20"/>
        </w:rPr>
        <w:t>ALCKZ</w:t>
      </w:r>
      <w:r>
        <w:rPr>
          <w:rFonts w:cs="Arial"/>
          <w:sz w:val="20"/>
          <w:szCs w:val="20"/>
        </w:rPr>
        <w:t xml:space="preserve"> – a negative sign because it is an discount</w:t>
      </w:r>
    </w:p>
    <w:p w14:paraId="39F6DD07" w14:textId="77777777" w:rsidR="003C1EFD" w:rsidRDefault="003C1EFD" w:rsidP="003C1EFD">
      <w:pPr>
        <w:pStyle w:val="ListParagraph"/>
        <w:numPr>
          <w:ilvl w:val="0"/>
          <w:numId w:val="19"/>
        </w:numPr>
        <w:spacing w:after="160" w:line="300" w:lineRule="auto"/>
        <w:rPr>
          <w:rFonts w:cs="Arial"/>
          <w:sz w:val="20"/>
          <w:szCs w:val="20"/>
        </w:rPr>
      </w:pPr>
      <w:r w:rsidRPr="00320F33">
        <w:rPr>
          <w:rFonts w:cs="Arial"/>
          <w:sz w:val="20"/>
          <w:szCs w:val="20"/>
        </w:rPr>
        <w:t>KSCHL</w:t>
      </w:r>
      <w:r>
        <w:rPr>
          <w:rFonts w:cs="Arial"/>
          <w:sz w:val="20"/>
          <w:szCs w:val="20"/>
        </w:rPr>
        <w:t xml:space="preserve"> – condition type (that you will be creating and will be mapped via code list by Cap Gemini)</w:t>
      </w:r>
    </w:p>
    <w:p w14:paraId="4E8A1861" w14:textId="77777777" w:rsidR="003C1EFD" w:rsidRDefault="003C1EFD" w:rsidP="003C1EFD">
      <w:pPr>
        <w:pStyle w:val="ListParagraph"/>
        <w:numPr>
          <w:ilvl w:val="0"/>
          <w:numId w:val="19"/>
        </w:numPr>
        <w:spacing w:after="160" w:line="300" w:lineRule="auto"/>
        <w:rPr>
          <w:rFonts w:cs="Arial"/>
          <w:sz w:val="20"/>
          <w:szCs w:val="20"/>
        </w:rPr>
      </w:pPr>
      <w:r w:rsidRPr="004566B8">
        <w:rPr>
          <w:rFonts w:cs="Arial"/>
          <w:sz w:val="20"/>
          <w:szCs w:val="20"/>
        </w:rPr>
        <w:t>KPERC</w:t>
      </w:r>
      <w:r>
        <w:rPr>
          <w:rFonts w:cs="Arial"/>
          <w:sz w:val="20"/>
          <w:szCs w:val="20"/>
        </w:rPr>
        <w:t xml:space="preserve"> – the percentage passed in by Kohl’s</w:t>
      </w:r>
    </w:p>
    <w:p w14:paraId="05268A45" w14:textId="033A2381" w:rsidR="003C1EFD" w:rsidRDefault="003C1EFD" w:rsidP="003C1EFD">
      <w:pPr>
        <w:pStyle w:val="ListParagraph"/>
        <w:numPr>
          <w:ilvl w:val="0"/>
          <w:numId w:val="19"/>
        </w:numPr>
        <w:spacing w:after="160" w:line="300" w:lineRule="auto"/>
        <w:rPr>
          <w:rFonts w:cs="Arial"/>
          <w:sz w:val="20"/>
          <w:szCs w:val="20"/>
        </w:rPr>
      </w:pPr>
      <w:r w:rsidRPr="003C1EFD">
        <w:rPr>
          <w:rFonts w:cs="Arial"/>
          <w:sz w:val="20"/>
          <w:szCs w:val="20"/>
        </w:rPr>
        <w:t>BETRG</w:t>
      </w:r>
      <w:r>
        <w:rPr>
          <w:rFonts w:cs="Arial"/>
          <w:sz w:val="20"/>
          <w:szCs w:val="20"/>
        </w:rPr>
        <w:t xml:space="preserve"> – the dollar value based on the percentage of invoice value</w:t>
      </w:r>
    </w:p>
    <w:p w14:paraId="5880160C" w14:textId="6052854E" w:rsidR="00E141AA" w:rsidRDefault="00E141AA" w:rsidP="00E141AA">
      <w:pPr>
        <w:pStyle w:val="ListParagraph"/>
        <w:numPr>
          <w:ilvl w:val="0"/>
          <w:numId w:val="19"/>
        </w:numPr>
        <w:spacing w:after="160" w:line="300" w:lineRule="auto"/>
        <w:rPr>
          <w:rFonts w:cs="Arial"/>
          <w:sz w:val="20"/>
          <w:szCs w:val="20"/>
        </w:rPr>
      </w:pPr>
      <w:r w:rsidRPr="00E141AA">
        <w:rPr>
          <w:rFonts w:cs="Arial"/>
          <w:sz w:val="20"/>
          <w:szCs w:val="20"/>
        </w:rPr>
        <w:t>KOEIN</w:t>
      </w:r>
      <w:r>
        <w:rPr>
          <w:rFonts w:cs="Arial"/>
          <w:sz w:val="20"/>
          <w:szCs w:val="20"/>
        </w:rPr>
        <w:t xml:space="preserve"> – currency</w:t>
      </w:r>
    </w:p>
    <w:p w14:paraId="1AE2A0A9" w14:textId="7F938349" w:rsidR="003C1EFD" w:rsidRPr="003C1EFD" w:rsidRDefault="003C1EFD" w:rsidP="003C1EFD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For E1EDS01, qualifier 020, the total discount value will be passed out:</w:t>
      </w:r>
    </w:p>
    <w:p w14:paraId="4FDAE1C9" w14:textId="3488CF51" w:rsidR="003C1EFD" w:rsidRDefault="0020205D" w:rsidP="0020205D">
      <w:pPr>
        <w:pStyle w:val="ListParagraph"/>
        <w:numPr>
          <w:ilvl w:val="0"/>
          <w:numId w:val="21"/>
        </w:numPr>
        <w:spacing w:after="160" w:line="300" w:lineRule="auto"/>
        <w:rPr>
          <w:rFonts w:cs="Arial"/>
          <w:sz w:val="20"/>
          <w:szCs w:val="20"/>
        </w:rPr>
      </w:pPr>
      <w:r w:rsidRPr="0020205D">
        <w:rPr>
          <w:rFonts w:cs="Arial"/>
          <w:sz w:val="20"/>
          <w:szCs w:val="20"/>
        </w:rPr>
        <w:t>SUMID – 020 (</w:t>
      </w:r>
      <w:r w:rsidR="00500598" w:rsidRPr="0020205D">
        <w:rPr>
          <w:rFonts w:cs="Arial"/>
          <w:sz w:val="20"/>
          <w:szCs w:val="20"/>
        </w:rPr>
        <w:t>qualifier</w:t>
      </w:r>
      <w:bookmarkStart w:id="0" w:name="_GoBack"/>
      <w:bookmarkEnd w:id="0"/>
      <w:r w:rsidRPr="0020205D">
        <w:rPr>
          <w:rFonts w:cs="Arial"/>
          <w:sz w:val="20"/>
          <w:szCs w:val="20"/>
        </w:rPr>
        <w:t xml:space="preserve"> for Total discounts/surcharges)</w:t>
      </w:r>
    </w:p>
    <w:p w14:paraId="249B43CA" w14:textId="41DFE53F" w:rsidR="0020205D" w:rsidRDefault="0020205D" w:rsidP="0020205D">
      <w:pPr>
        <w:pStyle w:val="ListParagraph"/>
        <w:numPr>
          <w:ilvl w:val="0"/>
          <w:numId w:val="21"/>
        </w:numPr>
        <w:spacing w:after="160" w:line="300" w:lineRule="auto"/>
        <w:rPr>
          <w:rFonts w:cs="Arial"/>
          <w:sz w:val="20"/>
          <w:szCs w:val="20"/>
        </w:rPr>
      </w:pPr>
      <w:r w:rsidRPr="0020205D">
        <w:rPr>
          <w:rFonts w:cs="Arial"/>
          <w:sz w:val="20"/>
          <w:szCs w:val="20"/>
        </w:rPr>
        <w:lastRenderedPageBreak/>
        <w:t>SUMME</w:t>
      </w:r>
      <w:r>
        <w:rPr>
          <w:rFonts w:cs="Arial"/>
          <w:sz w:val="20"/>
          <w:szCs w:val="20"/>
        </w:rPr>
        <w:t xml:space="preserve"> – total discount value</w:t>
      </w:r>
    </w:p>
    <w:p w14:paraId="27460496" w14:textId="2A51A5EC" w:rsidR="00406A09" w:rsidRPr="00406A09" w:rsidRDefault="0020205D" w:rsidP="00406A09">
      <w:pPr>
        <w:pStyle w:val="ListParagraph"/>
        <w:numPr>
          <w:ilvl w:val="0"/>
          <w:numId w:val="21"/>
        </w:numPr>
        <w:spacing w:after="160" w:line="300" w:lineRule="auto"/>
        <w:rPr>
          <w:rFonts w:cs="Arial"/>
          <w:sz w:val="20"/>
          <w:szCs w:val="20"/>
        </w:rPr>
      </w:pPr>
      <w:r w:rsidRPr="0020205D">
        <w:rPr>
          <w:rFonts w:cs="Arial"/>
          <w:sz w:val="20"/>
          <w:szCs w:val="20"/>
        </w:rPr>
        <w:t>WAERQ</w:t>
      </w:r>
      <w:r>
        <w:rPr>
          <w:rFonts w:cs="Arial"/>
          <w:sz w:val="20"/>
          <w:szCs w:val="20"/>
        </w:rPr>
        <w:t xml:space="preserve"> – c</w:t>
      </w:r>
      <w:r w:rsidR="00406A09">
        <w:rPr>
          <w:rFonts w:cs="Arial"/>
          <w:sz w:val="20"/>
          <w:szCs w:val="20"/>
        </w:rPr>
        <w:t>urrency</w:t>
      </w:r>
    </w:p>
    <w:p w14:paraId="5CFB4488" w14:textId="49683277" w:rsidR="007A6214" w:rsidRPr="00460BAE" w:rsidRDefault="007A621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Assumptions:</w:t>
      </w:r>
    </w:p>
    <w:p w14:paraId="64F84965" w14:textId="1F9EA521" w:rsidR="00DF4487" w:rsidRPr="00406A09" w:rsidRDefault="00406A09" w:rsidP="00406A09">
      <w:pPr>
        <w:pStyle w:val="ListParagraph"/>
        <w:numPr>
          <w:ilvl w:val="0"/>
          <w:numId w:val="23"/>
        </w:numPr>
        <w:spacing w:after="160" w:line="300" w:lineRule="auto"/>
        <w:rPr>
          <w:rFonts w:cs="Arial"/>
          <w:sz w:val="20"/>
          <w:szCs w:val="20"/>
        </w:rPr>
      </w:pPr>
      <w:r w:rsidRPr="00406A09">
        <w:rPr>
          <w:rFonts w:cs="Arial"/>
          <w:sz w:val="20"/>
          <w:szCs w:val="20"/>
        </w:rPr>
        <w:t>If a condition is not</w:t>
      </w:r>
      <w:r>
        <w:rPr>
          <w:rFonts w:cs="Arial"/>
          <w:sz w:val="20"/>
          <w:szCs w:val="20"/>
        </w:rPr>
        <w:t xml:space="preserve"> passed in by Kohl’s, it should not appear on the sales order as 0%.  It should just not appear on the sales order at all.</w:t>
      </w:r>
    </w:p>
    <w:p w14:paraId="53A1D59C" w14:textId="24249B75" w:rsidR="00071FFA" w:rsidRPr="00460BAE" w:rsidRDefault="00071FFA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Known Issues:</w:t>
      </w:r>
    </w:p>
    <w:p w14:paraId="53A1D59D" w14:textId="00A1E0F2" w:rsidR="006F1DF4" w:rsidRPr="00CA45CC" w:rsidRDefault="003A42E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N/A</w:t>
      </w:r>
    </w:p>
    <w:p w14:paraId="7DA4BE7D" w14:textId="4DFF28D9" w:rsidR="001E57C8" w:rsidRPr="00460BAE" w:rsidRDefault="001E57C8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5490"/>
      </w:tblGrid>
      <w:tr w:rsidR="00A14686" w:rsidRPr="00CA45CC" w14:paraId="7D50EFAE" w14:textId="77777777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8" w:space="0" w:color="000000" w:themeColor="text1"/>
            </w:tcBorders>
            <w:vAlign w:val="center"/>
          </w:tcPr>
          <w:p w14:paraId="4DF84A02" w14:textId="680B73C6" w:rsidR="001E57C8" w:rsidRPr="00CA45CC" w:rsidRDefault="00A8793A" w:rsidP="00DE0F3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14:paraId="493BFDA0" w14:textId="4A3414E0"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14:paraId="1D7DC73B" w14:textId="7A5E5148"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14:paraId="672517DA" w14:textId="77777777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07F0D5" w14:textId="129BB671" w:rsidR="00FD1224" w:rsidRPr="00DE0F34" w:rsidRDefault="00FD1224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AED034" w14:textId="77777777"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197636E8" w14:textId="77777777"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4433AE6A" w14:textId="77777777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110188" w14:textId="418F580E" w:rsidR="001E57C8" w:rsidRPr="00DE0F34" w:rsidRDefault="001E57C8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747122" w14:textId="596B7C27"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3624FE11" w14:textId="77777777"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D1034DC" w14:textId="77777777"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14:paraId="50DA0F67" w14:textId="26E4989B" w:rsidR="001B212D" w:rsidRPr="00460BAE" w:rsidRDefault="00D6447F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5490"/>
      </w:tblGrid>
      <w:tr w:rsidR="00A14686" w:rsidRPr="00CA45CC" w14:paraId="3481A40D" w14:textId="77777777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  <w:vAlign w:val="center"/>
          </w:tcPr>
          <w:p w14:paraId="7123D395" w14:textId="075BF9B4" w:rsidR="00D6447F" w:rsidRPr="00CA45CC" w:rsidRDefault="00D6447F" w:rsidP="007E051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6DF27422" w14:textId="188B65E4"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14:paraId="0679006E" w14:textId="050D6543"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14:paraId="6B1234D4" w14:textId="77777777"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14:paraId="62EAF0F4" w14:textId="77777777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C7F43F0" w14:textId="117B9616"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D743A48" w14:textId="77777777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E3762" w14:textId="095E306B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E7FABB4" w14:textId="77777777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65CB8097" w14:textId="77777777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A2AB54D" w14:textId="77777777"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D59036B" w14:textId="77777777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7A4410" w14:textId="6EECCBF2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491BB4F" w14:textId="77777777"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1C8DC1F" w14:textId="77777777"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14:paraId="27018955" w14:textId="77777777" w:rsidR="00522038" w:rsidRPr="0005571F" w:rsidRDefault="00522038" w:rsidP="00522038">
      <w:pPr>
        <w:tabs>
          <w:tab w:val="left" w:pos="-90"/>
        </w:tabs>
        <w:spacing w:line="300" w:lineRule="auto"/>
        <w:rPr>
          <w:rStyle w:val="Strong"/>
        </w:rPr>
      </w:pPr>
      <w:r w:rsidRPr="0005571F">
        <w:rPr>
          <w:rStyle w:val="Strong"/>
        </w:rPr>
        <w:t>TDMS Requirements:</w:t>
      </w:r>
    </w:p>
    <w:p w14:paraId="25B3B260" w14:textId="57E6867E" w:rsidR="00522038" w:rsidRPr="00CA45CC" w:rsidRDefault="00522038" w:rsidP="00B962F5">
      <w:p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 xml:space="preserve">Is a new TDMS client required?  </w:t>
      </w:r>
      <w:r w:rsidR="00B962F5" w:rsidRPr="00B962F5">
        <w:rPr>
          <w:rFonts w:cs="Arial"/>
          <w:b/>
          <w:sz w:val="20"/>
          <w:szCs w:val="20"/>
        </w:rPr>
        <w:t>No.</w:t>
      </w:r>
    </w:p>
    <w:p w14:paraId="50E6C1D8" w14:textId="77777777" w:rsidR="00225B8B" w:rsidRPr="00CA45CC" w:rsidRDefault="00225B8B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058132FD" w14:textId="77777777" w:rsidR="003C22FA" w:rsidRPr="00CA45CC" w:rsidRDefault="003C22FA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0C7A901E" w14:textId="77777777" w:rsidR="003C22FA" w:rsidRPr="00CA45CC" w:rsidRDefault="003C22FA" w:rsidP="00BB5B72">
      <w:pPr>
        <w:tabs>
          <w:tab w:val="left" w:pos="-90"/>
        </w:tabs>
        <w:spacing w:afterLines="160" w:after="384" w:line="300" w:lineRule="auto"/>
        <w:rPr>
          <w:rFonts w:cs="Arial"/>
          <w:b/>
          <w:sz w:val="20"/>
          <w:szCs w:val="20"/>
        </w:rPr>
        <w:sectPr w:rsidR="003C22FA" w:rsidRPr="00CA45CC" w:rsidSect="002002E0">
          <w:headerReference w:type="default" r:id="rId13"/>
          <w:headerReference w:type="first" r:id="rId14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14:paraId="2DAB7C44" w14:textId="65C5CD07" w:rsidR="007A6214" w:rsidRPr="00460BAE" w:rsidRDefault="007A6214" w:rsidP="00460BAE">
      <w:pPr>
        <w:tabs>
          <w:tab w:val="left" w:pos="-90"/>
        </w:tabs>
        <w:spacing w:line="300" w:lineRule="auto"/>
        <w:rPr>
          <w:rStyle w:val="Strong"/>
        </w:rPr>
      </w:pPr>
      <w:r w:rsidRPr="00460BAE">
        <w:rPr>
          <w:rStyle w:val="Strong"/>
        </w:rPr>
        <w:lastRenderedPageBreak/>
        <w:t>Test Scenarios:</w:t>
      </w:r>
    </w:p>
    <w:tbl>
      <w:tblPr>
        <w:tblStyle w:val="LightList"/>
        <w:tblW w:w="15120" w:type="dxa"/>
        <w:tblInd w:w="-25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10"/>
        <w:gridCol w:w="3210"/>
        <w:gridCol w:w="3210"/>
        <w:gridCol w:w="1440"/>
        <w:gridCol w:w="990"/>
        <w:gridCol w:w="1080"/>
        <w:gridCol w:w="540"/>
        <w:gridCol w:w="990"/>
      </w:tblGrid>
      <w:tr w:rsidR="00C15E15" w:rsidRPr="00CA45CC" w14:paraId="4CC65CE1" w14:textId="3B927D5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0000" w:themeColor="text1"/>
            </w:tcBorders>
            <w:vAlign w:val="center"/>
          </w:tcPr>
          <w:p w14:paraId="26CAFF2B" w14:textId="77777777" w:rsidR="0005172E" w:rsidRPr="00CA45CC" w:rsidRDefault="0005172E" w:rsidP="00C15E15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14:paraId="54ABCC84" w14:textId="77777777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Scenario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14:paraId="5DD1D11F" w14:textId="77777777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14:paraId="5550850D" w14:textId="77777777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14:paraId="60BB7B62" w14:textId="4016B4AF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14:paraId="4DE7FB1D" w14:textId="2691373F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14:paraId="04CA8F3F" w14:textId="77777777" w:rsidR="00DE7E8A" w:rsidRPr="00CA45CC" w:rsidRDefault="00DE7E8A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14:paraId="2EFE7178" w14:textId="69E617CF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bottom w:val="single" w:sz="8" w:space="0" w:color="000000" w:themeColor="text1"/>
            </w:tcBorders>
            <w:vAlign w:val="center"/>
          </w:tcPr>
          <w:p w14:paraId="0D0D280E" w14:textId="4E8A3453" w:rsidR="0005172E" w:rsidRPr="00CA45CC" w:rsidRDefault="00C15E15" w:rsidP="00C15E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="0005172E"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14:paraId="7DE00823" w14:textId="5EF875A0"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</w:p>
        </w:tc>
      </w:tr>
      <w:tr w:rsidR="00C15E15" w:rsidRPr="00CA45CC" w14:paraId="5CB59B74" w14:textId="16A51F21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14:paraId="70E5FBA0" w14:textId="4F2D8336" w:rsidR="0005172E" w:rsidRPr="00E34D93" w:rsidRDefault="000E628B" w:rsidP="00C15E15">
            <w:pPr>
              <w:pStyle w:val="NormalWeb"/>
              <w:snapToGrid w:val="0"/>
              <w:spacing w:before="28" w:after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001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1F32BCD" w14:textId="023B4581" w:rsidR="0005172E" w:rsidRPr="00E34D93" w:rsidRDefault="00BD2861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Process Kohl’s EDI order that has all conditions in the SAC segments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8E428EC" w14:textId="36A51FB9" w:rsidR="0005172E" w:rsidRPr="00E34D93" w:rsidRDefault="00BD2861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All allowance conditions are on the sales order, calculated properly, and pass back out on the invoice as statistical values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5402AA38" w14:textId="77777777"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FB2F37A" w14:textId="77777777"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54D0E1D" w14:textId="21D54602"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63118DD" w14:textId="30D1DC49"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4900F0" w14:textId="79FD0AFC" w:rsidR="0005172E" w:rsidRPr="00E34D93" w:rsidRDefault="0005172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5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57A7E491" w14:textId="2CF5E733" w:rsidR="0005172E" w:rsidRPr="00E34D93" w:rsidRDefault="00A14686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8B" w:rsidRPr="00CA45CC" w14:paraId="2B16339F" w14:textId="77777777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841F893" w14:textId="0E7EFB75" w:rsidR="000E628B" w:rsidRPr="00E34D93" w:rsidRDefault="000E628B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002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5EA06E1" w14:textId="02279C0C" w:rsidR="000E628B" w:rsidRPr="00E34D93" w:rsidRDefault="00BD2861" w:rsidP="000E628B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Process Kohl’s EDI order that has no conditions in the SAC segments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E16B9A9" w14:textId="0CB4C1C1" w:rsidR="000E628B" w:rsidRPr="00E34D93" w:rsidRDefault="00BD2861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 allowance conditions are on the sales order and are not passed out back on the invoice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8DD4CA7" w14:textId="77777777" w:rsidR="000E628B" w:rsidRPr="00E34D93" w:rsidRDefault="000E628B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CD28EB8" w14:textId="77777777" w:rsidR="000E628B" w:rsidRPr="00E34D93" w:rsidRDefault="000E628B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4B9D97A" w14:textId="77777777" w:rsidR="000E628B" w:rsidRPr="00E34D93" w:rsidRDefault="000E628B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8D8CC60" w14:textId="77777777" w:rsidR="000E628B" w:rsidRPr="00E34D93" w:rsidRDefault="000E628B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0255B69" w14:textId="62EEAF8E" w:rsidR="000E628B" w:rsidRPr="00E34D93" w:rsidRDefault="000E628B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20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14:paraId="1430B180" w14:textId="5C308A2F" w:rsidR="000E628B" w:rsidRPr="00E34D93" w:rsidRDefault="000E628B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E628B" w:rsidRPr="00CA45CC" w14:paraId="6A5F7BAB" w14:textId="77777777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14:paraId="337FBBF6" w14:textId="44337460" w:rsidR="000E628B" w:rsidRPr="00E34D93" w:rsidRDefault="000E628B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003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465A9486" w14:textId="6FA2292B" w:rsidR="000E628B" w:rsidRPr="00E34D93" w:rsidRDefault="00BD2861" w:rsidP="000E628B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Process Kohl’s EDI order with some of the conditions in the SAC segments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C00AF73" w14:textId="36B2B8C7" w:rsidR="000E628B" w:rsidRPr="00E34D93" w:rsidRDefault="00BD2861" w:rsidP="000343FB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Only those allowance conditions are on the sales order, calculated properly, and pass back out on the invoice as statistical </w:t>
            </w:r>
            <w:r w:rsidR="000343F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values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1578F4A" w14:textId="77777777" w:rsidR="000E628B" w:rsidRPr="00E34D93" w:rsidRDefault="000E628B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20F2C8" w14:textId="77777777" w:rsidR="000E628B" w:rsidRPr="00E34D93" w:rsidRDefault="000E628B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60EC7E2" w14:textId="77777777" w:rsidR="000E628B" w:rsidRPr="00E34D93" w:rsidRDefault="000E628B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17123A" w14:textId="77777777" w:rsidR="000E628B" w:rsidRPr="00E34D93" w:rsidRDefault="000E628B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230ED7" w14:textId="77777777" w:rsidR="000E628B" w:rsidRPr="00E34D93" w:rsidRDefault="000E628B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47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14:paraId="6BFD2ACA" w14:textId="52C145E2" w:rsidR="000E628B" w:rsidRPr="00E34D93" w:rsidRDefault="000E628B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1FA962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2DB1FF13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20935A04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4FF10453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6C3FB8D2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14:paraId="63A233DE" w14:textId="77777777"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  <w:sectPr w:rsidR="003B6065" w:rsidRPr="00CA45CC" w:rsidSect="002002E0">
          <w:pgSz w:w="15840" w:h="12240" w:orient="landscape"/>
          <w:pgMar w:top="720" w:right="720" w:bottom="720" w:left="720" w:header="360" w:footer="720" w:gutter="0"/>
          <w:cols w:space="720"/>
          <w:docGrid w:linePitch="360"/>
        </w:sectPr>
      </w:pPr>
    </w:p>
    <w:p w14:paraId="3A2B363E" w14:textId="6F4298AE" w:rsidR="00106CB6" w:rsidRPr="0005571F" w:rsidRDefault="00106CB6" w:rsidP="0005571F">
      <w:pPr>
        <w:tabs>
          <w:tab w:val="left" w:pos="-90"/>
        </w:tabs>
        <w:spacing w:line="300" w:lineRule="auto"/>
        <w:rPr>
          <w:rStyle w:val="Strong"/>
        </w:rPr>
      </w:pPr>
      <w:r w:rsidRPr="0005571F">
        <w:rPr>
          <w:rStyle w:val="Strong"/>
        </w:rPr>
        <w:lastRenderedPageBreak/>
        <w:t>Panaya Scripts: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630"/>
        <w:gridCol w:w="1170"/>
        <w:gridCol w:w="5130"/>
      </w:tblGrid>
      <w:tr w:rsidR="00A14686" w:rsidRPr="00CA45CC" w14:paraId="4DCFBB7D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14:paraId="69531254" w14:textId="4EE29A16" w:rsidR="00906056" w:rsidRPr="00CA45CC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510" w:type="dxa"/>
            <w:tcBorders>
              <w:bottom w:val="single" w:sz="8" w:space="0" w:color="000000" w:themeColor="text1"/>
            </w:tcBorders>
            <w:vAlign w:val="center"/>
          </w:tcPr>
          <w:p w14:paraId="26CCA943" w14:textId="6F7EAA2A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 Script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14:paraId="35CE4509" w14:textId="1C7A0F01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No.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14:paraId="148646C9" w14:textId="20C80E03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14:paraId="7E563F85" w14:textId="77777777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14:paraId="15FFD900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51F6B" w14:textId="77777777"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5589316" w14:textId="32F31122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9BCE55F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0F8351" w14:textId="453B29BC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482D897A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7922856D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237505" w14:textId="77777777"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349A03" w14:textId="3DF30C16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B128C5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40523BA" w14:textId="2EB81959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34389114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74F77F4F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67202CF" w14:textId="77777777"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65ACA5" w14:textId="5B4D102A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AA93DC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9D0E22" w14:textId="12760BAC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5B34002C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7A947DD0" w14:textId="77777777" w:rsidR="007A6214" w:rsidRPr="00CA45CC" w:rsidRDefault="007A6214" w:rsidP="00BB5B72">
      <w:pPr>
        <w:tabs>
          <w:tab w:val="left" w:pos="-90"/>
        </w:tabs>
        <w:spacing w:after="160" w:line="300" w:lineRule="auto"/>
        <w:rPr>
          <w:rFonts w:cs="Arial"/>
          <w:b/>
          <w:sz w:val="20"/>
          <w:szCs w:val="20"/>
        </w:rPr>
      </w:pPr>
    </w:p>
    <w:p w14:paraId="43DDCCA9" w14:textId="39160D56" w:rsidR="00487B8D" w:rsidRPr="0005571F" w:rsidRDefault="00FF00D8" w:rsidP="0005571F">
      <w:pPr>
        <w:tabs>
          <w:tab w:val="left" w:pos="-90"/>
        </w:tabs>
        <w:spacing w:line="300" w:lineRule="auto"/>
        <w:rPr>
          <w:rStyle w:val="Strong"/>
        </w:rPr>
      </w:pPr>
      <w:r w:rsidRPr="0005571F">
        <w:rPr>
          <w:rStyle w:val="Strong"/>
        </w:rPr>
        <w:t xml:space="preserve">uPerform / </w:t>
      </w:r>
      <w:r w:rsidR="00EF1C23" w:rsidRPr="0005571F">
        <w:rPr>
          <w:rStyle w:val="Strong"/>
        </w:rPr>
        <w:t>Camtasia</w:t>
      </w:r>
      <w:r w:rsidRPr="0005571F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080"/>
        <w:gridCol w:w="1170"/>
        <w:gridCol w:w="5130"/>
      </w:tblGrid>
      <w:tr w:rsidR="00A14686" w:rsidRPr="00CA45CC" w14:paraId="5A4937FC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14:paraId="31A09C63" w14:textId="08359A60" w:rsidR="00906056" w:rsidRPr="00CA45CC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bottom w:val="single" w:sz="8" w:space="0" w:color="000000" w:themeColor="text1"/>
            </w:tcBorders>
            <w:vAlign w:val="center"/>
          </w:tcPr>
          <w:p w14:paraId="2F015466" w14:textId="51EAA3F4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uPerform Script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14:paraId="48356846" w14:textId="363A61B0" w:rsidR="00906056" w:rsidRPr="00CA45CC" w:rsidRDefault="00D1441A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 Date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14:paraId="610FA133" w14:textId="42ADC5CF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Lan</w:t>
            </w:r>
            <w:r w:rsidR="00934EBA" w:rsidRPr="00CA45CC">
              <w:rPr>
                <w:rFonts w:cs="Arial"/>
                <w:color w:val="auto"/>
                <w:sz w:val="20"/>
                <w:szCs w:val="20"/>
              </w:rPr>
              <w:t>guage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14:paraId="2FA7FAB1" w14:textId="77777777"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14:paraId="04C458E0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3C04E1" w14:textId="77777777"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F596AA" w14:textId="799C4625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12F8BDF" w14:textId="163DC2BF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A1C29C" w14:textId="43EE1F32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4DB3C61E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2F36912B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9A4BF7" w14:textId="77777777"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923308" w14:textId="48942D4A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D46FBF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2BCB9CF" w14:textId="3815A129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0D311670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14:paraId="54173745" w14:textId="77777777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0AD6CD9" w14:textId="77777777"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B6BE73A" w14:textId="75614BFF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4550FB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927648" w14:textId="60CFC1A9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14:paraId="6ED09CAB" w14:textId="77777777"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14:paraId="0983C4AA" w14:textId="626E7DD2" w:rsidR="00FF00D8" w:rsidRPr="00CA45CC" w:rsidRDefault="00FF00D8" w:rsidP="00BB5B72">
      <w:pPr>
        <w:spacing w:after="160" w:line="300" w:lineRule="auto"/>
        <w:rPr>
          <w:rFonts w:cs="Arial"/>
          <w:sz w:val="20"/>
          <w:szCs w:val="20"/>
        </w:rPr>
      </w:pPr>
    </w:p>
    <w:p w14:paraId="12DA1B83" w14:textId="77777777" w:rsidR="003B6065" w:rsidRPr="00CA45CC" w:rsidRDefault="003B6065" w:rsidP="00BB5B72">
      <w:pPr>
        <w:spacing w:after="160" w:line="300" w:lineRule="auto"/>
        <w:rPr>
          <w:rFonts w:cs="Arial"/>
          <w:sz w:val="20"/>
          <w:szCs w:val="20"/>
        </w:rPr>
      </w:pPr>
    </w:p>
    <w:sectPr w:rsidR="003B6065" w:rsidRPr="00CA45CC" w:rsidSect="00CC415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ECEB9" w14:textId="77777777" w:rsidR="008A15E8" w:rsidRDefault="008A15E8" w:rsidP="00514781">
      <w:pPr>
        <w:spacing w:after="0" w:line="240" w:lineRule="auto"/>
      </w:pPr>
      <w:r>
        <w:separator/>
      </w:r>
    </w:p>
  </w:endnote>
  <w:endnote w:type="continuationSeparator" w:id="0">
    <w:p w14:paraId="5E7D65E1" w14:textId="77777777" w:rsidR="008A15E8" w:rsidRDefault="008A15E8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60F2B" w14:textId="77777777" w:rsidR="008A15E8" w:rsidRDefault="008A15E8" w:rsidP="00514781">
      <w:pPr>
        <w:spacing w:after="0" w:line="240" w:lineRule="auto"/>
      </w:pPr>
      <w:r>
        <w:separator/>
      </w:r>
    </w:p>
  </w:footnote>
  <w:footnote w:type="continuationSeparator" w:id="0">
    <w:p w14:paraId="5CAD2712" w14:textId="77777777" w:rsidR="008A15E8" w:rsidRDefault="008A15E8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931145" w:rsidRPr="002706B3" w14:paraId="212C01A6" w14:textId="77777777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0D8AC82C" w14:textId="0A8B7C1F"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24255F32" wp14:editId="48C1C1E7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02E096B" w14:textId="3953D01D" w:rsidR="00931145" w:rsidRPr="00896519" w:rsidRDefault="00C35C40" w:rsidP="00C35C40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Kohl’s EDI Statistical Pricing Conditions</w:t>
              </w:r>
            </w:p>
          </w:sdtContent>
        </w:sdt>
      </w:tc>
    </w:tr>
    <w:tr w:rsidR="00931145" w:rsidRPr="002706B3" w14:paraId="0C3F4C97" w14:textId="77777777" w:rsidTr="00D532B3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14:paraId="3048047D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14:paraId="55E0F850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14:paraId="32A30B27" w14:textId="770DAE25" w:rsidR="00931145" w:rsidRPr="002706B3" w:rsidRDefault="00973132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IT – Sales &amp; Distribution</w:t>
          </w:r>
        </w:p>
      </w:tc>
      <w:tc>
        <w:tcPr>
          <w:tcW w:w="1460" w:type="dxa"/>
        </w:tcPr>
        <w:p w14:paraId="33EF94D6" w14:textId="77777777"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14:paraId="092D9C07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3967A6">
            <w:rPr>
              <w:rFonts w:cs="Arial"/>
              <w:sz w:val="20"/>
              <w:szCs w:val="20"/>
            </w:rPr>
            <w:t>Thi Tran</w:t>
          </w:r>
        </w:p>
      </w:tc>
      <w:tc>
        <w:tcPr>
          <w:tcW w:w="989" w:type="dxa"/>
        </w:tcPr>
        <w:p w14:paraId="35C77A8E" w14:textId="77777777"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14:paraId="40B57466" w14:textId="6791545B" w:rsidR="00931145" w:rsidRPr="002706B3" w:rsidRDefault="00C35C40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1090</w:t>
          </w:r>
          <w:r w:rsidR="00931145" w:rsidRPr="002706B3">
            <w:rPr>
              <w:rFonts w:cs="Arial"/>
              <w:sz w:val="20"/>
              <w:szCs w:val="20"/>
            </w:rPr>
            <w:t xml:space="preserve"> </w:t>
          </w:r>
        </w:p>
      </w:tc>
    </w:tr>
    <w:tr w:rsidR="00931145" w:rsidRPr="002706B3" w14:paraId="6A3F0DFC" w14:textId="77777777" w:rsidTr="00D532B3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14:paraId="736A0708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14:paraId="459CB75D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14:paraId="2833558F" w14:textId="767C3642" w:rsidR="00931145" w:rsidRPr="002706B3" w:rsidRDefault="00973132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SD Pricing</w:t>
          </w:r>
        </w:p>
      </w:tc>
      <w:tc>
        <w:tcPr>
          <w:tcW w:w="1460" w:type="dxa"/>
        </w:tcPr>
        <w:p w14:paraId="54662291" w14:textId="77777777"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14:paraId="6D4909C9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905F1">
            <w:rPr>
              <w:rFonts w:cs="Arial"/>
              <w:noProof/>
              <w:sz w:val="20"/>
              <w:szCs w:val="20"/>
            </w:rPr>
            <w:t>10-Jul-13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14:paraId="2609608D" w14:textId="77777777"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14:paraId="50C9D6B7" w14:textId="77777777"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500598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500598">
            <w:rPr>
              <w:rFonts w:cs="Arial"/>
              <w:noProof/>
              <w:sz w:val="20"/>
              <w:szCs w:val="20"/>
            </w:rPr>
            <w:t>4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6DE74CD9" w14:textId="77777777" w:rsidR="00931145" w:rsidRDefault="00931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D532B3" w:rsidRPr="002706B3" w14:paraId="4BC33D75" w14:textId="77777777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48F53C53" w14:textId="1EB136C1"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F8E3AE5" wp14:editId="582F7B94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rong"/>
            </w:rPr>
          </w:sdtEndPr>
          <w:sdtContent>
            <w:p w14:paraId="031806A3" w14:textId="0DB51620" w:rsidR="00D532B3" w:rsidRPr="005A7C5F" w:rsidRDefault="00C35C40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Kohl’s EDI Statistical Pricing Conditions</w:t>
              </w:r>
            </w:p>
          </w:sdtContent>
        </w:sdt>
      </w:tc>
    </w:tr>
    <w:tr w:rsidR="00D532B3" w:rsidRPr="002706B3" w14:paraId="5F3993A8" w14:textId="77777777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14:paraId="1C198BB9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14:paraId="1B11F700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14:paraId="1B3D76B8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14:paraId="200041C5" w14:textId="77777777"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14:paraId="44E7DCA3" w14:textId="6571DA58"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14:paraId="0E082A4A" w14:textId="77777777"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14:paraId="6A4B20E3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14:paraId="4E4ED7EF" w14:textId="77777777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14:paraId="3EE28326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14:paraId="12CE30F5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14:paraId="0B38ECEA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14:paraId="21E5928B" w14:textId="77777777"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14:paraId="7F33A78C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905F1">
            <w:rPr>
              <w:rFonts w:cs="Arial"/>
              <w:noProof/>
              <w:sz w:val="20"/>
              <w:szCs w:val="20"/>
            </w:rPr>
            <w:t>10-Jul-13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14:paraId="7BAFA9E1" w14:textId="77777777"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14:paraId="1D151EE4" w14:textId="77777777"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18D6E0E6" w14:textId="719250BA"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190"/>
    <w:multiLevelType w:val="hybridMultilevel"/>
    <w:tmpl w:val="50B4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3028D"/>
    <w:multiLevelType w:val="hybridMultilevel"/>
    <w:tmpl w:val="92E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2D50AFC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C460E4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33534790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B63DE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60544479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B2744"/>
    <w:multiLevelType w:val="hybridMultilevel"/>
    <w:tmpl w:val="ABCA0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582038"/>
    <w:multiLevelType w:val="hybridMultilevel"/>
    <w:tmpl w:val="FD34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"/>
  </w:num>
  <w:num w:numId="4">
    <w:abstractNumId w:val="6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9"/>
  </w:num>
  <w:num w:numId="13">
    <w:abstractNumId w:val="19"/>
  </w:num>
  <w:num w:numId="14">
    <w:abstractNumId w:val="8"/>
  </w:num>
  <w:num w:numId="15">
    <w:abstractNumId w:val="11"/>
  </w:num>
  <w:num w:numId="16">
    <w:abstractNumId w:val="10"/>
  </w:num>
  <w:num w:numId="17">
    <w:abstractNumId w:val="0"/>
  </w:num>
  <w:num w:numId="18">
    <w:abstractNumId w:val="16"/>
  </w:num>
  <w:num w:numId="19">
    <w:abstractNumId w:val="5"/>
  </w:num>
  <w:num w:numId="20">
    <w:abstractNumId w:val="2"/>
  </w:num>
  <w:num w:numId="21">
    <w:abstractNumId w:val="7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1"/>
    <w:rsid w:val="000077C5"/>
    <w:rsid w:val="00014C8D"/>
    <w:rsid w:val="00017D55"/>
    <w:rsid w:val="00025BD9"/>
    <w:rsid w:val="000272DF"/>
    <w:rsid w:val="000343FB"/>
    <w:rsid w:val="000451DB"/>
    <w:rsid w:val="00046093"/>
    <w:rsid w:val="0005172E"/>
    <w:rsid w:val="0005571F"/>
    <w:rsid w:val="00070D19"/>
    <w:rsid w:val="00071FFA"/>
    <w:rsid w:val="00075587"/>
    <w:rsid w:val="000814CF"/>
    <w:rsid w:val="0008620C"/>
    <w:rsid w:val="0009215A"/>
    <w:rsid w:val="000A23A6"/>
    <w:rsid w:val="000A4D33"/>
    <w:rsid w:val="000D2739"/>
    <w:rsid w:val="000D5626"/>
    <w:rsid w:val="000D621B"/>
    <w:rsid w:val="000E628B"/>
    <w:rsid w:val="00102ACF"/>
    <w:rsid w:val="00106CB6"/>
    <w:rsid w:val="00113887"/>
    <w:rsid w:val="0014587C"/>
    <w:rsid w:val="00145F8A"/>
    <w:rsid w:val="00161177"/>
    <w:rsid w:val="001629FB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D04E2"/>
    <w:rsid w:val="001D1939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205D"/>
    <w:rsid w:val="002063E8"/>
    <w:rsid w:val="00211AAC"/>
    <w:rsid w:val="0021297D"/>
    <w:rsid w:val="002176E6"/>
    <w:rsid w:val="002232EF"/>
    <w:rsid w:val="00225B8B"/>
    <w:rsid w:val="00226DDC"/>
    <w:rsid w:val="00232B86"/>
    <w:rsid w:val="0024268D"/>
    <w:rsid w:val="002543DA"/>
    <w:rsid w:val="002706B3"/>
    <w:rsid w:val="002717FA"/>
    <w:rsid w:val="00271BDC"/>
    <w:rsid w:val="00271C7C"/>
    <w:rsid w:val="00280D0C"/>
    <w:rsid w:val="002954C5"/>
    <w:rsid w:val="00297CB8"/>
    <w:rsid w:val="002A46EA"/>
    <w:rsid w:val="002A4FBF"/>
    <w:rsid w:val="002A64F2"/>
    <w:rsid w:val="002A7545"/>
    <w:rsid w:val="002D60B2"/>
    <w:rsid w:val="002E6C4D"/>
    <w:rsid w:val="002F1CA7"/>
    <w:rsid w:val="002F2A6F"/>
    <w:rsid w:val="00304421"/>
    <w:rsid w:val="00305112"/>
    <w:rsid w:val="00315FCC"/>
    <w:rsid w:val="00316E04"/>
    <w:rsid w:val="0031704B"/>
    <w:rsid w:val="00320F33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67A6"/>
    <w:rsid w:val="003A3463"/>
    <w:rsid w:val="003A42E8"/>
    <w:rsid w:val="003B6065"/>
    <w:rsid w:val="003C1EFD"/>
    <w:rsid w:val="003C22FA"/>
    <w:rsid w:val="003C799B"/>
    <w:rsid w:val="003E258F"/>
    <w:rsid w:val="003E2BA0"/>
    <w:rsid w:val="003E2D78"/>
    <w:rsid w:val="003E7378"/>
    <w:rsid w:val="003E7891"/>
    <w:rsid w:val="0040432C"/>
    <w:rsid w:val="00406A09"/>
    <w:rsid w:val="0041053D"/>
    <w:rsid w:val="00434BF0"/>
    <w:rsid w:val="004412F0"/>
    <w:rsid w:val="0044208A"/>
    <w:rsid w:val="004429B5"/>
    <w:rsid w:val="00452D1C"/>
    <w:rsid w:val="004566B8"/>
    <w:rsid w:val="0045698D"/>
    <w:rsid w:val="00460BAE"/>
    <w:rsid w:val="004875C5"/>
    <w:rsid w:val="00487B8D"/>
    <w:rsid w:val="004905F1"/>
    <w:rsid w:val="004931CE"/>
    <w:rsid w:val="004942FC"/>
    <w:rsid w:val="00496F3C"/>
    <w:rsid w:val="004A5D65"/>
    <w:rsid w:val="004B2647"/>
    <w:rsid w:val="004C2F74"/>
    <w:rsid w:val="004C590E"/>
    <w:rsid w:val="004C659F"/>
    <w:rsid w:val="004D091A"/>
    <w:rsid w:val="004D0BAA"/>
    <w:rsid w:val="004D406C"/>
    <w:rsid w:val="004E0E79"/>
    <w:rsid w:val="00500598"/>
    <w:rsid w:val="00511119"/>
    <w:rsid w:val="00514781"/>
    <w:rsid w:val="00521183"/>
    <w:rsid w:val="00522038"/>
    <w:rsid w:val="0052359C"/>
    <w:rsid w:val="00532D5E"/>
    <w:rsid w:val="0053628D"/>
    <w:rsid w:val="00555BDE"/>
    <w:rsid w:val="00557181"/>
    <w:rsid w:val="00560490"/>
    <w:rsid w:val="0056442F"/>
    <w:rsid w:val="0056504A"/>
    <w:rsid w:val="005730EC"/>
    <w:rsid w:val="005733F9"/>
    <w:rsid w:val="00585C0D"/>
    <w:rsid w:val="00587B48"/>
    <w:rsid w:val="005977D8"/>
    <w:rsid w:val="005A3BEE"/>
    <w:rsid w:val="005A79B7"/>
    <w:rsid w:val="005A7C5F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62667"/>
    <w:rsid w:val="00663240"/>
    <w:rsid w:val="006654FF"/>
    <w:rsid w:val="00665FA7"/>
    <w:rsid w:val="00685A19"/>
    <w:rsid w:val="0069345B"/>
    <w:rsid w:val="006A0991"/>
    <w:rsid w:val="006A4A56"/>
    <w:rsid w:val="006A66EF"/>
    <w:rsid w:val="006F065D"/>
    <w:rsid w:val="006F1DF4"/>
    <w:rsid w:val="00701545"/>
    <w:rsid w:val="00701FA9"/>
    <w:rsid w:val="00714A10"/>
    <w:rsid w:val="0072510D"/>
    <w:rsid w:val="00727A91"/>
    <w:rsid w:val="00730148"/>
    <w:rsid w:val="007736B4"/>
    <w:rsid w:val="007753DF"/>
    <w:rsid w:val="00786059"/>
    <w:rsid w:val="00787E9C"/>
    <w:rsid w:val="007A4E83"/>
    <w:rsid w:val="007A6214"/>
    <w:rsid w:val="007B1AEF"/>
    <w:rsid w:val="007B5C74"/>
    <w:rsid w:val="007D4236"/>
    <w:rsid w:val="007D4570"/>
    <w:rsid w:val="007E0514"/>
    <w:rsid w:val="007F68FF"/>
    <w:rsid w:val="0082279E"/>
    <w:rsid w:val="0082471D"/>
    <w:rsid w:val="00832E09"/>
    <w:rsid w:val="008341E4"/>
    <w:rsid w:val="008414C6"/>
    <w:rsid w:val="0085370F"/>
    <w:rsid w:val="0085725B"/>
    <w:rsid w:val="008658F0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5ADA"/>
    <w:rsid w:val="008F03B7"/>
    <w:rsid w:val="008F62F5"/>
    <w:rsid w:val="0090443D"/>
    <w:rsid w:val="00906056"/>
    <w:rsid w:val="00907A8F"/>
    <w:rsid w:val="0091399C"/>
    <w:rsid w:val="00914A32"/>
    <w:rsid w:val="00922C60"/>
    <w:rsid w:val="00931145"/>
    <w:rsid w:val="00934EBA"/>
    <w:rsid w:val="0096222D"/>
    <w:rsid w:val="00973132"/>
    <w:rsid w:val="009A31E1"/>
    <w:rsid w:val="009A595D"/>
    <w:rsid w:val="009B017A"/>
    <w:rsid w:val="009B5158"/>
    <w:rsid w:val="009C3B95"/>
    <w:rsid w:val="009D7CAC"/>
    <w:rsid w:val="009E6A78"/>
    <w:rsid w:val="009F507B"/>
    <w:rsid w:val="009F6E49"/>
    <w:rsid w:val="00A0028D"/>
    <w:rsid w:val="00A1271A"/>
    <w:rsid w:val="00A14686"/>
    <w:rsid w:val="00A1533C"/>
    <w:rsid w:val="00A4050B"/>
    <w:rsid w:val="00A4524F"/>
    <w:rsid w:val="00A4775B"/>
    <w:rsid w:val="00A64B0E"/>
    <w:rsid w:val="00A807C2"/>
    <w:rsid w:val="00A834BF"/>
    <w:rsid w:val="00A86867"/>
    <w:rsid w:val="00A8793A"/>
    <w:rsid w:val="00A9268F"/>
    <w:rsid w:val="00AD3384"/>
    <w:rsid w:val="00AD3A68"/>
    <w:rsid w:val="00AE2836"/>
    <w:rsid w:val="00B444EA"/>
    <w:rsid w:val="00B45EA9"/>
    <w:rsid w:val="00B51869"/>
    <w:rsid w:val="00B55A71"/>
    <w:rsid w:val="00B620F1"/>
    <w:rsid w:val="00B8497F"/>
    <w:rsid w:val="00B91F59"/>
    <w:rsid w:val="00B93435"/>
    <w:rsid w:val="00B962F5"/>
    <w:rsid w:val="00BA1902"/>
    <w:rsid w:val="00BB1CA9"/>
    <w:rsid w:val="00BB5B72"/>
    <w:rsid w:val="00BD237C"/>
    <w:rsid w:val="00BD2861"/>
    <w:rsid w:val="00BE61A9"/>
    <w:rsid w:val="00BF0692"/>
    <w:rsid w:val="00BF0B5F"/>
    <w:rsid w:val="00C05DC0"/>
    <w:rsid w:val="00C1163E"/>
    <w:rsid w:val="00C15E15"/>
    <w:rsid w:val="00C34033"/>
    <w:rsid w:val="00C35C40"/>
    <w:rsid w:val="00C47843"/>
    <w:rsid w:val="00C50FB1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5C2D"/>
    <w:rsid w:val="00CC08D8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A47D4"/>
    <w:rsid w:val="00DD0FF1"/>
    <w:rsid w:val="00DE0F34"/>
    <w:rsid w:val="00DE6990"/>
    <w:rsid w:val="00DE7354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141AA"/>
    <w:rsid w:val="00E244F9"/>
    <w:rsid w:val="00E32B61"/>
    <w:rsid w:val="00E34D93"/>
    <w:rsid w:val="00E35270"/>
    <w:rsid w:val="00E45FFC"/>
    <w:rsid w:val="00E5717D"/>
    <w:rsid w:val="00E63F72"/>
    <w:rsid w:val="00E644AF"/>
    <w:rsid w:val="00E658D0"/>
    <w:rsid w:val="00E67FBF"/>
    <w:rsid w:val="00E7014E"/>
    <w:rsid w:val="00E86B85"/>
    <w:rsid w:val="00E94919"/>
    <w:rsid w:val="00EA6AE4"/>
    <w:rsid w:val="00EB535C"/>
    <w:rsid w:val="00EC5D34"/>
    <w:rsid w:val="00ED342A"/>
    <w:rsid w:val="00EE65E5"/>
    <w:rsid w:val="00EF1C23"/>
    <w:rsid w:val="00EF2112"/>
    <w:rsid w:val="00EF7ED0"/>
    <w:rsid w:val="00F024EB"/>
    <w:rsid w:val="00F16561"/>
    <w:rsid w:val="00F32BBE"/>
    <w:rsid w:val="00F4504E"/>
    <w:rsid w:val="00F53119"/>
    <w:rsid w:val="00F53FC7"/>
    <w:rsid w:val="00F6681E"/>
    <w:rsid w:val="00F730D8"/>
    <w:rsid w:val="00F9036E"/>
    <w:rsid w:val="00F919AF"/>
    <w:rsid w:val="00F919D2"/>
    <w:rsid w:val="00F94C94"/>
    <w:rsid w:val="00F94FA8"/>
    <w:rsid w:val="00FA04D7"/>
    <w:rsid w:val="00FA085C"/>
    <w:rsid w:val="00FA7159"/>
    <w:rsid w:val="00FA7892"/>
    <w:rsid w:val="00FB4114"/>
    <w:rsid w:val="00FC220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3A1D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0" ma:contentTypeDescription="Create a new document." ma:contentTypeScope="" ma:versionID="b90ca0d444d1cf2cc5f3ba0489b05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fb3f8578e2c96545ddd70b94e67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D8D2-19DC-4495-B555-5CC9AD926F1D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369230-8347-4DC5-B3F4-CB032620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5FE5FC0-FDEA-4F3F-9061-E498B702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Kohl’s EDI Statistical Pricing Conditions</vt:lpstr>
    </vt:vector>
  </TitlesOfParts>
  <Company>New Era Cap Company, Inc.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Kohl’s EDI Statistical Pricing Conditions</dc:title>
  <dc:creator>Thi.Tran@neweracap.com</dc:creator>
  <cp:lastModifiedBy>Thi Tran</cp:lastModifiedBy>
  <cp:revision>19</cp:revision>
  <cp:lastPrinted>2013-06-05T12:56:00Z</cp:lastPrinted>
  <dcterms:created xsi:type="dcterms:W3CDTF">2013-07-09T20:46:00Z</dcterms:created>
  <dcterms:modified xsi:type="dcterms:W3CDTF">2013-07-10T15:11:00Z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</Properties>
</file>